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embeddings/oleObject1.bin" ContentType="application/vnd.openxmlformats-officedocument.oleObject"/>
  <Override PartName="/word/media/image1.wmf" ContentType="image/x-wmf"/>
  <Override PartName="/word/media/image2.jpeg" ContentType="image/jpeg"/>
  <Override PartName="/word/comments.xml" ContentType="application/vnd.openxmlformats-officedocument.wordprocessingml.comment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pPr>
      <w:r>
        <w:rPr/>
      </w:r>
    </w:p>
    <w:tbl>
      <w:tblPr>
        <w:tblW w:w="4950" w:type="pct"/>
        <w:jc w:val="center"/>
        <w:tblInd w:w="0" w:type="dxa"/>
        <w:tblCellMar>
          <w:top w:w="0" w:type="dxa"/>
          <w:left w:w="70" w:type="dxa"/>
          <w:bottom w:w="0" w:type="dxa"/>
          <w:right w:w="70" w:type="dxa"/>
        </w:tblCellMar>
        <w:tblLook w:firstRow="0" w:noVBand="0" w:lastRow="0" w:firstColumn="0" w:lastColumn="0" w:noHBand="0" w:val="0000"/>
      </w:tblPr>
      <w:tblGrid>
        <w:gridCol w:w="1112"/>
        <w:gridCol w:w="6257"/>
        <w:gridCol w:w="1049"/>
      </w:tblGrid>
      <w:tr>
        <w:trPr>
          <w:trHeight w:val="1278" w:hRule="atLeast"/>
        </w:trPr>
        <w:tc>
          <w:tcPr>
            <w:tcW w:w="1112" w:type="dxa"/>
            <w:tcBorders>
              <w:bottom w:val="single" w:sz="8" w:space="0" w:color="000000"/>
            </w:tcBorders>
            <w:vAlign w:val="center"/>
          </w:tcPr>
          <w:p>
            <w:pPr>
              <w:pStyle w:val="Normal"/>
              <w:spacing w:lineRule="auto" w:line="240" w:before="0" w:after="0"/>
              <w:jc w:val="center"/>
              <w:rPr>
                <w:rFonts w:ascii="Times New Roman" w:hAnsi="Times New Roman"/>
                <w:b/>
                <w:b/>
              </w:rPr>
            </w:pPr>
            <w:r>
              <w:rPr/>
              <w:object w:dxaOrig="1020" w:dyaOrig="1110">
                <v:shape id="ole_rId2" style="width:49.45pt;height:56.4pt" o:ole="">
                  <v:imagedata r:id="rId3" o:title=""/>
                </v:shape>
                <o:OLEObject Type="Embed" ProgID="Word.Picture.8" ShapeID="ole_rId2" DrawAspect="Content" ObjectID="_1120935280" r:id="rId2"/>
              </w:object>
            </w:r>
          </w:p>
        </w:tc>
        <w:tc>
          <w:tcPr>
            <w:tcW w:w="6257" w:type="dxa"/>
            <w:tcBorders>
              <w:bottom w:val="single" w:sz="8" w:space="0" w:color="000000"/>
            </w:tcBorders>
            <w:vAlign w:val="center"/>
          </w:tcPr>
          <w:p>
            <w:pPr>
              <w:pStyle w:val="Standard"/>
              <w:spacing w:lineRule="auto" w:line="240" w:before="0" w:after="0"/>
              <w:jc w:val="center"/>
              <w:rPr/>
            </w:pPr>
            <w:r>
              <w:rPr>
                <w:rFonts w:ascii="Times New Roman" w:hAnsi="Times New Roman"/>
                <w:b/>
                <w:bCs/>
              </w:rPr>
              <w:t>ANEXO I</w:t>
            </w:r>
          </w:p>
          <w:p>
            <w:pPr>
              <w:pStyle w:val="Standard"/>
              <w:spacing w:lineRule="auto" w:line="240" w:before="0" w:after="0"/>
              <w:jc w:val="center"/>
              <w:rPr>
                <w:rFonts w:ascii="Times New Roman" w:hAnsi="Times New Roman"/>
                <w:b/>
                <w:b/>
                <w:bCs/>
              </w:rPr>
            </w:pPr>
            <w:r>
              <w:rPr>
                <w:rFonts w:ascii="Times New Roman" w:hAnsi="Times New Roman"/>
                <w:b/>
                <w:bCs/>
              </w:rPr>
            </w:r>
          </w:p>
          <w:p>
            <w:pPr>
              <w:pStyle w:val="Standard"/>
              <w:spacing w:lineRule="auto" w:line="240" w:before="0" w:after="0"/>
              <w:jc w:val="center"/>
              <w:rPr/>
            </w:pPr>
            <w:r>
              <w:rPr>
                <w:rFonts w:ascii="Times New Roman" w:hAnsi="Times New Roman"/>
                <w:b/>
                <w:bCs/>
              </w:rPr>
              <w:t>SERVIÇO PÚBLICO FEDERAL</w:t>
            </w:r>
          </w:p>
          <w:p>
            <w:pPr>
              <w:pStyle w:val="Standard"/>
              <w:spacing w:lineRule="auto" w:line="240" w:before="0" w:after="0"/>
              <w:jc w:val="center"/>
              <w:rPr/>
            </w:pPr>
            <w:r>
              <w:rPr>
                <w:rFonts w:ascii="Times New Roman" w:hAnsi="Times New Roman"/>
                <w:b/>
                <w:bCs/>
              </w:rPr>
              <w:t>UNIVERSIDADE FEDERAL DE SANTA CATARINA</w:t>
            </w:r>
          </w:p>
          <w:p>
            <w:pPr>
              <w:pStyle w:val="Standard"/>
              <w:spacing w:lineRule="auto" w:line="240" w:before="0" w:after="0"/>
              <w:jc w:val="center"/>
              <w:rPr>
                <w:rFonts w:ascii="Times New Roman" w:hAnsi="Times New Roman"/>
                <w:b/>
                <w:b/>
                <w:bCs/>
              </w:rPr>
            </w:pPr>
            <w:r>
              <w:rPr>
                <w:rFonts w:ascii="Times New Roman" w:hAnsi="Times New Roman"/>
                <w:b/>
                <w:bCs/>
              </w:rPr>
              <w:commentReference w:id="0"/>
            </w:r>
          </w:p>
        </w:tc>
        <w:tc>
          <w:tcPr>
            <w:tcW w:w="1049" w:type="dxa"/>
            <w:tcBorders>
              <w:bottom w:val="single" w:sz="8" w:space="0" w:color="000000"/>
            </w:tcBorders>
            <w:vAlign w:val="center"/>
          </w:tcPr>
          <w:p>
            <w:pPr>
              <w:pStyle w:val="Normal"/>
              <w:spacing w:lineRule="auto" w:line="240" w:before="0" w:after="0"/>
              <w:ind w:right="-41" w:hanging="0"/>
              <w:jc w:val="center"/>
              <w:rPr>
                <w:rFonts w:ascii="Times New Roman" w:hAnsi="Times New Roman"/>
                <w:b/>
                <w:b/>
              </w:rPr>
            </w:pPr>
            <w:r>
              <w:rPr/>
              <w:drawing>
                <wp:inline distT="0" distB="0" distL="0" distR="0">
                  <wp:extent cx="612775" cy="698500"/>
                  <wp:effectExtent l="0" t="0" r="0" b="0"/>
                  <wp:docPr id="1" name="Imagem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descr=""/>
                          <pic:cNvPicPr>
                            <a:picLocks noChangeAspect="1" noChangeArrowheads="1"/>
                          </pic:cNvPicPr>
                        </pic:nvPicPr>
                        <pic:blipFill>
                          <a:blip r:embed="rId4"/>
                          <a:stretch>
                            <a:fillRect/>
                          </a:stretch>
                        </pic:blipFill>
                        <pic:spPr bwMode="auto">
                          <a:xfrm>
                            <a:off x="0" y="0"/>
                            <a:ext cx="612775" cy="698500"/>
                          </a:xfrm>
                          <a:prstGeom prst="rect">
                            <a:avLst/>
                          </a:prstGeom>
                        </pic:spPr>
                      </pic:pic>
                    </a:graphicData>
                  </a:graphic>
                </wp:inline>
              </w:drawing>
            </w:r>
          </w:p>
        </w:tc>
      </w:tr>
    </w:tbl>
    <w:p>
      <w:pPr>
        <w:pStyle w:val="Normal"/>
        <w:spacing w:lineRule="auto" w:line="240" w:before="0" w:after="120"/>
        <w:jc w:val="center"/>
        <w:rPr>
          <w:rFonts w:ascii="Times New Roman" w:hAnsi="Times New Roman"/>
          <w:b/>
          <w:b/>
          <w:sz w:val="24"/>
        </w:rPr>
      </w:pPr>
      <w:r>
        <w:rPr>
          <w:rFonts w:ascii="Times New Roman" w:hAnsi="Times New Roman"/>
          <w:b/>
          <w:sz w:val="24"/>
        </w:rPr>
      </w:r>
    </w:p>
    <w:p>
      <w:pPr>
        <w:pStyle w:val="Normal"/>
        <w:spacing w:lineRule="auto" w:line="240" w:before="0" w:after="120"/>
        <w:jc w:val="center"/>
        <w:rPr>
          <w:rFonts w:ascii="Times New Roman" w:hAnsi="Times New Roman"/>
          <w:b/>
          <w:b/>
          <w:sz w:val="24"/>
        </w:rPr>
      </w:pPr>
      <w:r>
        <w:rPr>
          <w:rFonts w:ascii="Times New Roman" w:hAnsi="Times New Roman"/>
          <w:b/>
          <w:sz w:val="24"/>
        </w:rPr>
        <w:t>TERMO DE REFERÊNCIA</w:t>
      </w:r>
    </w:p>
    <w:p>
      <w:pPr>
        <w:pStyle w:val="Normal"/>
        <w:spacing w:lineRule="auto" w:line="240" w:before="0" w:after="120"/>
        <w:rPr>
          <w:rFonts w:ascii="Times New Roman" w:hAnsi="Times New Roman"/>
          <w:b/>
          <w:b/>
          <w:sz w:val="24"/>
        </w:rPr>
      </w:pPr>
      <w:r>
        <w:rPr>
          <w:rFonts w:ascii="Times New Roman" w:hAnsi="Times New Roman"/>
          <w:b/>
          <w:sz w:val="24"/>
        </w:rPr>
      </w:r>
    </w:p>
    <w:p>
      <w:pPr>
        <w:pStyle w:val="Default"/>
        <w:rPr>
          <w:rFonts w:ascii="Times New Roman" w:hAnsi="Times New Roman"/>
          <w:b/>
          <w:b/>
        </w:rPr>
      </w:pPr>
      <w:r>
        <w:rPr>
          <w:rFonts w:ascii="Times New Roman" w:hAnsi="Times New Roman"/>
          <w:b/>
        </w:rPr>
        <w:t>Processo nº: 23080.</w:t>
      </w:r>
      <w:r>
        <w:rPr>
          <w:rFonts w:eastAsia="Calibri" w:cs="Verdana" w:ascii="Times New Roman" w:hAnsi="Times New Roman"/>
          <w:b/>
          <w:bCs/>
          <w:color w:val="000000"/>
          <w:kern w:val="0"/>
          <w:sz w:val="23"/>
          <w:szCs w:val="23"/>
          <w:highlight w:val="yellow"/>
          <w:lang w:val="pt-BR" w:eastAsia="pt-BR" w:bidi="ar-SA"/>
        </w:rPr>
        <w:t>XX</w:t>
      </w:r>
    </w:p>
    <w:p>
      <w:pPr>
        <w:pStyle w:val="Default"/>
        <w:rPr>
          <w:rFonts w:ascii="Times New Roman" w:hAnsi="Times New Roman"/>
          <w:b/>
          <w:b/>
        </w:rPr>
      </w:pPr>
      <w:r>
        <w:rPr>
          <w:rFonts w:ascii="Times New Roman" w:hAnsi="Times New Roman"/>
          <w:b/>
        </w:rPr>
      </w:r>
    </w:p>
    <w:p>
      <w:pPr>
        <w:pStyle w:val="Normal"/>
        <w:rPr>
          <w:rFonts w:ascii="Times New Roman" w:hAnsi="Times New Roman"/>
          <w:b/>
          <w:b/>
        </w:rPr>
      </w:pPr>
      <w:r>
        <w:rPr>
          <w:rFonts w:ascii="Times New Roman" w:hAnsi="Times New Roman"/>
          <w:b/>
        </w:rPr>
        <w:t>1. OBJETO</w:t>
      </w:r>
    </w:p>
    <w:p>
      <w:pPr>
        <w:pStyle w:val="Normal"/>
        <w:jc w:val="both"/>
        <w:rPr>
          <w:rFonts w:ascii="Times New Roman" w:hAnsi="Times New Roman"/>
        </w:rPr>
      </w:pPr>
      <w:r>
        <w:rPr>
          <w:rFonts w:ascii="Times New Roman" w:hAnsi="Times New Roman"/>
        </w:rPr>
        <w:t xml:space="preserve">1.1. Concessão de uso de área física medindo </w:t>
      </w:r>
      <w:r>
        <w:rPr>
          <w:rFonts w:eastAsia="Calibri" w:cs="Verdana" w:ascii="Times New Roman" w:hAnsi="Times New Roman"/>
          <w:b w:val="false"/>
          <w:bCs w:val="false"/>
          <w:color w:val="000000"/>
          <w:kern w:val="0"/>
          <w:sz w:val="23"/>
          <w:szCs w:val="23"/>
          <w:highlight w:val="yellow"/>
          <w:lang w:val="pt-BR" w:eastAsia="pt-BR" w:bidi="ar-SA"/>
        </w:rPr>
        <w:t>XX</w:t>
      </w:r>
      <w:r>
        <w:rPr>
          <w:rFonts w:ascii="Times New Roman" w:hAnsi="Times New Roman"/>
          <w:b w:val="false"/>
          <w:bCs w:val="false"/>
        </w:rPr>
        <w:t xml:space="preserve"> m², localizada no Centro </w:t>
      </w:r>
      <w:r>
        <w:rPr>
          <w:rFonts w:eastAsia="Calibri" w:cs="Verdana" w:ascii="Times New Roman" w:hAnsi="Times New Roman"/>
          <w:b w:val="false"/>
          <w:bCs w:val="false"/>
          <w:color w:val="000000"/>
          <w:kern w:val="0"/>
          <w:sz w:val="23"/>
          <w:szCs w:val="23"/>
          <w:highlight w:val="yellow"/>
          <w:lang w:val="pt-BR" w:eastAsia="pt-BR" w:bidi="ar-SA"/>
        </w:rPr>
        <w:t>XX</w:t>
      </w:r>
      <w:r>
        <w:rPr>
          <w:rFonts w:ascii="Times New Roman" w:hAnsi="Times New Roman"/>
        </w:rPr>
        <w:t xml:space="preserve"> da Universidade Federal de Santa Catarina (UFSC), conforme demonstrado na planta baixa do Anexo II do Edital, </w:t>
      </w:r>
      <w:r>
        <w:rPr>
          <w:rFonts w:eastAsia="Calibri" w:cs="Times New Roman" w:ascii="Times New Roman" w:hAnsi="Times New Roman"/>
          <w:color w:val="auto"/>
          <w:kern w:val="0"/>
          <w:sz w:val="22"/>
          <w:szCs w:val="22"/>
          <w:lang w:val="pt-BR" w:eastAsia="en-US" w:bidi="ar-SA"/>
        </w:rPr>
        <w:t>destinada à</w:t>
      </w:r>
      <w:r>
        <w:rPr>
          <w:rFonts w:ascii="Times New Roman" w:hAnsi="Times New Roman"/>
        </w:rPr>
        <w:t xml:space="preserve"> exploração e operação comercial de serviços de reprografia, impressão, digitalização e encadernação. </w:t>
      </w:r>
    </w:p>
    <w:p>
      <w:pPr>
        <w:pStyle w:val="Normal"/>
        <w:ind w:left="426" w:hanging="0"/>
        <w:jc w:val="both"/>
        <w:rPr>
          <w:rFonts w:ascii="Times New Roman" w:hAnsi="Times New Roman"/>
        </w:rPr>
      </w:pPr>
      <w:r>
        <w:rPr>
          <w:rFonts w:ascii="Times New Roman" w:hAnsi="Times New Roman"/>
        </w:rPr>
        <w:t>1.1.1. A área objeto desta licitação destina-se exclusivamente para o fim específico a que foi proposta, sendo expressamente vedado o seu uso por terceiros, a qualquer título ou forma, ou pela CONCESSIONÁRIA, para outras finalidades.</w:t>
      </w:r>
    </w:p>
    <w:p>
      <w:pPr>
        <w:pStyle w:val="Normal"/>
        <w:jc w:val="both"/>
        <w:rPr>
          <w:rFonts w:ascii="Times New Roman" w:hAnsi="Times New Roman"/>
        </w:rPr>
      </w:pPr>
      <w:r>
        <w:rPr>
          <w:rFonts w:ascii="Times New Roman" w:hAnsi="Times New Roman"/>
        </w:rPr>
        <w:t xml:space="preserve">1.2. Para fins de referência, o valor mínimo a ser cobrado pela concessão do espaço físico objeto deste Termo de Referência é de </w:t>
      </w:r>
      <w:r>
        <w:rPr>
          <w:rFonts w:eastAsia="Times New Roman" w:ascii="Times New Roman" w:hAnsi="Times New Roman"/>
          <w:b w:val="false"/>
          <w:bCs w:val="false"/>
          <w:color w:val="000000"/>
          <w:highlight w:val="yellow"/>
          <w:lang w:eastAsia="pt-BR"/>
        </w:rPr>
        <w:t>R$</w:t>
      </w:r>
      <w:r>
        <w:rPr>
          <w:rFonts w:eastAsia="Calibri" w:cs="Verdana" w:ascii="Times New Roman" w:hAnsi="Times New Roman"/>
          <w:b w:val="false"/>
          <w:bCs w:val="false"/>
          <w:color w:val="000000"/>
          <w:kern w:val="0"/>
          <w:sz w:val="23"/>
          <w:szCs w:val="23"/>
          <w:highlight w:val="yellow"/>
          <w:lang w:val="pt-BR" w:eastAsia="pt-BR" w:bidi="ar-SA"/>
        </w:rPr>
        <w:t>XX</w:t>
      </w:r>
      <w:r>
        <w:rPr>
          <w:rFonts w:ascii="Times New Roman" w:hAnsi="Times New Roman"/>
          <w:b w:val="false"/>
          <w:bCs w:val="false"/>
          <w:color w:val="000000"/>
          <w:highlight w:val="yellow"/>
        </w:rPr>
        <w:t xml:space="preserve"> (</w:t>
      </w:r>
      <w:r>
        <w:rPr>
          <w:rFonts w:eastAsia="Calibri" w:cs="Times New Roman" w:ascii="Times New Roman" w:hAnsi="Times New Roman"/>
          <w:b w:val="false"/>
          <w:bCs w:val="false"/>
          <w:color w:val="000000"/>
          <w:kern w:val="0"/>
          <w:sz w:val="22"/>
          <w:szCs w:val="22"/>
          <w:highlight w:val="yellow"/>
          <w:lang w:val="pt-BR" w:eastAsia="en-US" w:bidi="ar-SA"/>
        </w:rPr>
        <w:t>valor por extenso</w:t>
      </w:r>
      <w:r>
        <w:rPr>
          <w:rFonts w:ascii="Times New Roman" w:hAnsi="Times New Roman"/>
          <w:b w:val="false"/>
          <w:bCs w:val="false"/>
          <w:color w:val="000000"/>
          <w:highlight w:val="yellow"/>
        </w:rPr>
        <w:t>)</w:t>
      </w:r>
      <w:r>
        <w:rPr>
          <w:rFonts w:ascii="Times New Roman" w:hAnsi="Times New Roman"/>
        </w:rPr>
        <w:t xml:space="preserve"> mensal, cuja estimativa para 12 meses é de </w:t>
      </w:r>
      <w:r>
        <w:rPr>
          <w:rFonts w:eastAsia="Times New Roman" w:ascii="Times New Roman" w:hAnsi="Times New Roman"/>
          <w:b w:val="false"/>
          <w:bCs w:val="false"/>
          <w:color w:val="000000"/>
          <w:highlight w:val="yellow"/>
          <w:lang w:eastAsia="pt-BR"/>
        </w:rPr>
        <w:t>R$</w:t>
      </w:r>
      <w:r>
        <w:rPr>
          <w:rFonts w:eastAsia="Calibri" w:cs="Verdana" w:ascii="Times New Roman" w:hAnsi="Times New Roman"/>
          <w:b w:val="false"/>
          <w:bCs w:val="false"/>
          <w:color w:val="000000"/>
          <w:kern w:val="0"/>
          <w:sz w:val="23"/>
          <w:szCs w:val="23"/>
          <w:highlight w:val="yellow"/>
          <w:lang w:val="pt-BR" w:eastAsia="pt-BR" w:bidi="ar-SA"/>
        </w:rPr>
        <w:t>XX</w:t>
      </w:r>
      <w:r>
        <w:rPr>
          <w:rFonts w:ascii="Times New Roman" w:hAnsi="Times New Roman"/>
          <w:b w:val="false"/>
          <w:bCs w:val="false"/>
          <w:color w:val="000000"/>
          <w:highlight w:val="yellow"/>
        </w:rPr>
        <w:t xml:space="preserve"> (</w:t>
      </w:r>
      <w:r>
        <w:rPr>
          <w:rFonts w:eastAsia="Calibri" w:cs="Times New Roman" w:ascii="Times New Roman" w:hAnsi="Times New Roman"/>
          <w:b w:val="false"/>
          <w:bCs w:val="false"/>
          <w:color w:val="000000"/>
          <w:kern w:val="0"/>
          <w:sz w:val="22"/>
          <w:szCs w:val="22"/>
          <w:highlight w:val="yellow"/>
          <w:lang w:val="pt-BR" w:eastAsia="en-US" w:bidi="ar-SA"/>
        </w:rPr>
        <w:t>valor por extenso</w:t>
      </w:r>
      <w:r>
        <w:rPr>
          <w:rFonts w:ascii="Times New Roman" w:hAnsi="Times New Roman"/>
          <w:b w:val="false"/>
          <w:bCs w:val="false"/>
          <w:color w:val="000000"/>
          <w:highlight w:val="yellow"/>
        </w:rPr>
        <w:t>)</w:t>
      </w:r>
      <w:r>
        <w:rPr>
          <w:rFonts w:ascii="Times New Roman" w:hAnsi="Times New Roman"/>
          <w:color w:val="auto"/>
        </w:rPr>
        <w:t>, de acordo com o quadro abaixo:</w:t>
      </w:r>
    </w:p>
    <w:tbl>
      <w:tblPr>
        <w:tblW w:w="8500" w:type="dxa"/>
        <w:jc w:val="left"/>
        <w:tblInd w:w="0" w:type="dxa"/>
        <w:tblCellMar>
          <w:top w:w="0" w:type="dxa"/>
          <w:left w:w="70" w:type="dxa"/>
          <w:bottom w:w="0" w:type="dxa"/>
          <w:right w:w="70" w:type="dxa"/>
        </w:tblCellMar>
        <w:tblLook w:firstRow="1" w:noVBand="1" w:lastRow="0" w:firstColumn="1" w:lastColumn="0" w:noHBand="0" w:val="04a0"/>
      </w:tblPr>
      <w:tblGrid>
        <w:gridCol w:w="578"/>
        <w:gridCol w:w="3171"/>
        <w:gridCol w:w="1185"/>
        <w:gridCol w:w="676"/>
        <w:gridCol w:w="1469"/>
        <w:gridCol w:w="1420"/>
      </w:tblGrid>
      <w:tr>
        <w:trPr>
          <w:trHeight w:val="570" w:hRule="atLeast"/>
        </w:trPr>
        <w:tc>
          <w:tcPr>
            <w:tcW w:w="578" w:type="dxa"/>
            <w:tcBorders>
              <w:top w:val="single" w:sz="4" w:space="0" w:color="000000"/>
              <w:left w:val="single" w:sz="4" w:space="0" w:color="000000"/>
              <w:bottom w:val="single" w:sz="4" w:space="0" w:color="000000"/>
              <w:right w:val="single" w:sz="4" w:space="0" w:color="000000"/>
            </w:tcBorders>
            <w:shd w:color="000000" w:fill="CCCCCC" w:val="clear"/>
            <w:vAlign w:val="center"/>
          </w:tcPr>
          <w:p>
            <w:pPr>
              <w:pStyle w:val="Normal"/>
              <w:spacing w:lineRule="auto" w:line="240" w:before="0" w:after="0"/>
              <w:jc w:val="center"/>
              <w:rPr>
                <w:rFonts w:ascii="Times New Roman" w:hAnsi="Times New Roman" w:eastAsia="Times New Roman"/>
                <w:b/>
                <w:b/>
                <w:bCs/>
                <w:color w:val="000000"/>
                <w:lang w:eastAsia="pt-BR"/>
              </w:rPr>
            </w:pPr>
            <w:r>
              <w:rPr>
                <w:rFonts w:eastAsia="Times New Roman" w:ascii="Times New Roman" w:hAnsi="Times New Roman"/>
                <w:b/>
                <w:bCs/>
                <w:color w:val="000000"/>
                <w:lang w:eastAsia="pt-BR"/>
              </w:rPr>
              <w:t>Item</w:t>
            </w:r>
          </w:p>
        </w:tc>
        <w:tc>
          <w:tcPr>
            <w:tcW w:w="3171" w:type="dxa"/>
            <w:tcBorders>
              <w:top w:val="single" w:sz="4" w:space="0" w:color="000000"/>
              <w:bottom w:val="single" w:sz="4" w:space="0" w:color="000000"/>
              <w:right w:val="single" w:sz="4" w:space="0" w:color="000000"/>
            </w:tcBorders>
            <w:shd w:color="000000" w:fill="CCCCCC" w:val="clear"/>
            <w:vAlign w:val="center"/>
          </w:tcPr>
          <w:p>
            <w:pPr>
              <w:pStyle w:val="Normal"/>
              <w:spacing w:lineRule="auto" w:line="240" w:before="0" w:after="0"/>
              <w:jc w:val="center"/>
              <w:rPr>
                <w:rFonts w:ascii="Times New Roman" w:hAnsi="Times New Roman" w:eastAsia="Times New Roman"/>
                <w:b/>
                <w:b/>
                <w:bCs/>
                <w:color w:val="000000"/>
                <w:lang w:eastAsia="pt-BR"/>
              </w:rPr>
            </w:pPr>
            <w:r>
              <w:rPr>
                <w:rFonts w:eastAsia="Times New Roman" w:ascii="Times New Roman" w:hAnsi="Times New Roman"/>
                <w:b/>
                <w:bCs/>
                <w:color w:val="000000"/>
                <w:lang w:eastAsia="pt-BR"/>
              </w:rPr>
              <w:t>Descrição</w:t>
            </w:r>
          </w:p>
        </w:tc>
        <w:tc>
          <w:tcPr>
            <w:tcW w:w="1185" w:type="dxa"/>
            <w:tcBorders>
              <w:top w:val="single" w:sz="4" w:space="0" w:color="000000"/>
              <w:bottom w:val="single" w:sz="4" w:space="0" w:color="000000"/>
              <w:right w:val="single" w:sz="4" w:space="0" w:color="000000"/>
            </w:tcBorders>
            <w:shd w:color="000000" w:fill="CCCCCC" w:val="clear"/>
            <w:vAlign w:val="center"/>
          </w:tcPr>
          <w:p>
            <w:pPr>
              <w:pStyle w:val="Normal"/>
              <w:spacing w:lineRule="auto" w:line="240" w:before="0" w:after="0"/>
              <w:jc w:val="center"/>
              <w:rPr>
                <w:rFonts w:ascii="Times New Roman" w:hAnsi="Times New Roman" w:eastAsia="Times New Roman"/>
                <w:b/>
                <w:b/>
                <w:bCs/>
                <w:color w:val="000000"/>
                <w:lang w:eastAsia="pt-BR"/>
              </w:rPr>
            </w:pPr>
            <w:r>
              <w:rPr>
                <w:rFonts w:eastAsia="Times New Roman" w:ascii="Times New Roman" w:hAnsi="Times New Roman"/>
                <w:b/>
                <w:bCs/>
                <w:color w:val="000000"/>
                <w:lang w:eastAsia="pt-BR"/>
              </w:rPr>
              <w:t>Unid. Medida</w:t>
            </w:r>
          </w:p>
        </w:tc>
        <w:tc>
          <w:tcPr>
            <w:tcW w:w="676" w:type="dxa"/>
            <w:tcBorders>
              <w:top w:val="single" w:sz="4" w:space="0" w:color="000000"/>
              <w:bottom w:val="single" w:sz="4" w:space="0" w:color="000000"/>
              <w:right w:val="single" w:sz="4" w:space="0" w:color="000000"/>
            </w:tcBorders>
            <w:shd w:color="000000" w:fill="CCCCCC" w:val="clear"/>
            <w:vAlign w:val="center"/>
          </w:tcPr>
          <w:p>
            <w:pPr>
              <w:pStyle w:val="Normal"/>
              <w:spacing w:lineRule="auto" w:line="240" w:before="0" w:after="0"/>
              <w:jc w:val="center"/>
              <w:rPr>
                <w:rFonts w:ascii="Times New Roman" w:hAnsi="Times New Roman" w:eastAsia="Times New Roman"/>
                <w:b/>
                <w:b/>
                <w:bCs/>
                <w:color w:val="000000"/>
                <w:lang w:eastAsia="pt-BR"/>
              </w:rPr>
            </w:pPr>
            <w:r>
              <w:rPr>
                <w:rFonts w:eastAsia="Times New Roman" w:ascii="Times New Roman" w:hAnsi="Times New Roman"/>
                <w:b/>
                <w:bCs/>
                <w:color w:val="000000"/>
                <w:lang w:eastAsia="pt-BR"/>
              </w:rPr>
              <w:t>Qtd.</w:t>
            </w:r>
          </w:p>
        </w:tc>
        <w:tc>
          <w:tcPr>
            <w:tcW w:w="1469" w:type="dxa"/>
            <w:tcBorders>
              <w:top w:val="single" w:sz="4" w:space="0" w:color="000000"/>
              <w:bottom w:val="single" w:sz="4" w:space="0" w:color="000000"/>
              <w:right w:val="single" w:sz="4" w:space="0" w:color="000000"/>
            </w:tcBorders>
            <w:shd w:color="000000" w:fill="CCCCCC" w:val="clear"/>
          </w:tcPr>
          <w:p>
            <w:pPr>
              <w:pStyle w:val="Normal"/>
              <w:spacing w:lineRule="auto" w:line="240" w:before="0" w:after="0"/>
              <w:jc w:val="center"/>
              <w:rPr>
                <w:rFonts w:ascii="Times New Roman" w:hAnsi="Times New Roman" w:eastAsia="Times New Roman"/>
                <w:b/>
                <w:b/>
                <w:bCs/>
                <w:color w:val="000000"/>
                <w:lang w:eastAsia="pt-BR"/>
              </w:rPr>
            </w:pPr>
            <w:r>
              <w:rPr>
                <w:rFonts w:eastAsia="Times New Roman" w:ascii="Times New Roman" w:hAnsi="Times New Roman"/>
                <w:b/>
                <w:bCs/>
                <w:color w:val="000000"/>
                <w:lang w:eastAsia="pt-BR"/>
              </w:rPr>
              <w:t>Valor Estimado Mensal</w:t>
            </w:r>
          </w:p>
        </w:tc>
        <w:tc>
          <w:tcPr>
            <w:tcW w:w="1420" w:type="dxa"/>
            <w:tcBorders>
              <w:top w:val="single" w:sz="4" w:space="0" w:color="000000"/>
              <w:left w:val="single" w:sz="4" w:space="0" w:color="000000"/>
              <w:bottom w:val="single" w:sz="4" w:space="0" w:color="000000"/>
              <w:right w:val="single" w:sz="4" w:space="0" w:color="000000"/>
            </w:tcBorders>
            <w:shd w:color="000000" w:fill="CCCCCC" w:val="clear"/>
            <w:vAlign w:val="center"/>
          </w:tcPr>
          <w:p>
            <w:pPr>
              <w:pStyle w:val="Normal"/>
              <w:spacing w:lineRule="auto" w:line="240" w:before="0" w:after="0"/>
              <w:jc w:val="center"/>
              <w:rPr>
                <w:rFonts w:ascii="Times New Roman" w:hAnsi="Times New Roman" w:eastAsia="Times New Roman"/>
                <w:b/>
                <w:b/>
                <w:bCs/>
                <w:color w:val="000000"/>
                <w:lang w:eastAsia="pt-BR"/>
              </w:rPr>
            </w:pPr>
            <w:r>
              <w:rPr>
                <w:rFonts w:eastAsia="Times New Roman" w:ascii="Times New Roman" w:hAnsi="Times New Roman"/>
                <w:b/>
                <w:bCs/>
                <w:color w:val="000000"/>
                <w:lang w:eastAsia="pt-BR"/>
              </w:rPr>
              <w:t>Valor Estimado Anual</w:t>
            </w:r>
          </w:p>
        </w:tc>
      </w:tr>
      <w:tr>
        <w:trPr>
          <w:trHeight w:val="600" w:hRule="atLeast"/>
        </w:trPr>
        <w:tc>
          <w:tcPr>
            <w:tcW w:w="578" w:type="dxa"/>
            <w:tcBorders>
              <w:left w:val="single" w:sz="4" w:space="0" w:color="000000"/>
              <w:bottom w:val="single" w:sz="4" w:space="0" w:color="000000"/>
              <w:right w:val="single" w:sz="4" w:space="0" w:color="000000"/>
            </w:tcBorders>
            <w:shd w:color="auto" w:fill="auto" w:val="clear"/>
            <w:vAlign w:val="center"/>
          </w:tcPr>
          <w:p>
            <w:pPr>
              <w:pStyle w:val="Normal"/>
              <w:spacing w:lineRule="auto" w:line="240" w:before="0" w:after="0"/>
              <w:jc w:val="center"/>
              <w:rPr>
                <w:rFonts w:ascii="Times New Roman" w:hAnsi="Times New Roman" w:eastAsia="Times New Roman"/>
                <w:color w:val="000000"/>
                <w:lang w:eastAsia="pt-BR"/>
              </w:rPr>
            </w:pPr>
            <w:r>
              <w:rPr>
                <w:rFonts w:eastAsia="Times New Roman" w:ascii="Times New Roman" w:hAnsi="Times New Roman"/>
                <w:color w:val="000000"/>
                <w:lang w:eastAsia="pt-BR"/>
              </w:rPr>
              <w:t>001</w:t>
            </w:r>
          </w:p>
        </w:tc>
        <w:tc>
          <w:tcPr>
            <w:tcW w:w="3171" w:type="dxa"/>
            <w:tcBorders>
              <w:bottom w:val="single" w:sz="4" w:space="0" w:color="000000"/>
              <w:right w:val="single" w:sz="4" w:space="0" w:color="000000"/>
            </w:tcBorders>
            <w:shd w:color="auto" w:fill="auto" w:val="clear"/>
            <w:vAlign w:val="center"/>
          </w:tcPr>
          <w:p>
            <w:pPr>
              <w:pStyle w:val="Normal"/>
              <w:spacing w:lineRule="auto" w:line="240" w:before="0" w:after="0"/>
              <w:jc w:val="both"/>
              <w:rPr>
                <w:rFonts w:ascii="Times New Roman" w:hAnsi="Times New Roman" w:eastAsia="Times New Roman"/>
                <w:color w:val="000000"/>
                <w:lang w:eastAsia="pt-BR"/>
              </w:rPr>
            </w:pPr>
            <w:r>
              <w:rPr>
                <w:rFonts w:eastAsia="Times New Roman" w:ascii="Times New Roman" w:hAnsi="Times New Roman"/>
                <w:color w:val="000000"/>
                <w:lang w:eastAsia="pt-BR"/>
              </w:rPr>
              <w:t xml:space="preserve">Concessão de área física de </w:t>
            </w:r>
            <w:r>
              <w:rPr>
                <w:rFonts w:eastAsia="Calibri" w:cs="Verdana" w:ascii="Times New Roman" w:hAnsi="Times New Roman"/>
                <w:b w:val="false"/>
                <w:bCs w:val="false"/>
                <w:color w:val="000000"/>
                <w:kern w:val="0"/>
                <w:sz w:val="23"/>
                <w:szCs w:val="23"/>
                <w:highlight w:val="yellow"/>
                <w:lang w:val="pt-BR" w:eastAsia="pt-BR" w:bidi="ar-SA"/>
              </w:rPr>
              <w:t xml:space="preserve">XX </w:t>
            </w:r>
            <w:r>
              <w:rPr>
                <w:rFonts w:eastAsia="Times New Roman" w:ascii="Times New Roman" w:hAnsi="Times New Roman"/>
                <w:color w:val="000000"/>
                <w:lang w:eastAsia="pt-BR"/>
              </w:rPr>
              <w:t xml:space="preserve">m² no Centro </w:t>
            </w:r>
            <w:r>
              <w:rPr>
                <w:rFonts w:eastAsia="Calibri" w:cs="Verdana" w:ascii="Times New Roman" w:hAnsi="Times New Roman"/>
                <w:b w:val="false"/>
                <w:bCs w:val="false"/>
                <w:color w:val="000000"/>
                <w:kern w:val="0"/>
                <w:sz w:val="23"/>
                <w:szCs w:val="23"/>
                <w:highlight w:val="yellow"/>
                <w:lang w:val="pt-BR" w:eastAsia="pt-BR" w:bidi="ar-SA"/>
              </w:rPr>
              <w:t>XX</w:t>
            </w:r>
            <w:r>
              <w:rPr>
                <w:rFonts w:eastAsia="Times New Roman" w:ascii="Times New Roman" w:hAnsi="Times New Roman"/>
                <w:color w:val="000000"/>
                <w:lang w:eastAsia="pt-BR"/>
              </w:rPr>
              <w:t xml:space="preserve"> da UFSC</w:t>
            </w:r>
            <w:r>
              <w:rPr>
                <w:rFonts w:eastAsia="Times New Roman" w:ascii="Times New Roman" w:hAnsi="Times New Roman"/>
                <w:lang w:eastAsia="pt-BR"/>
              </w:rPr>
              <w:t xml:space="preserve"> </w:t>
            </w:r>
            <w:r>
              <w:rPr>
                <w:rFonts w:ascii="Times New Roman" w:hAnsi="Times New Roman"/>
              </w:rPr>
              <w:t xml:space="preserve"> </w:t>
            </w:r>
            <w:r>
              <w:rPr>
                <w:rFonts w:ascii="Times New Roman" w:hAnsi="Times New Roman"/>
              </w:rPr>
              <w:t xml:space="preserve">destinada à </w:t>
            </w:r>
            <w:r>
              <w:rPr>
                <w:rFonts w:ascii="Times New Roman" w:hAnsi="Times New Roman"/>
              </w:rPr>
              <w:t>exploração e operação comercial de serviços de reprografia, impressão, digitalização e encadernação.</w:t>
            </w:r>
          </w:p>
        </w:tc>
        <w:tc>
          <w:tcPr>
            <w:tcW w:w="1185" w:type="dxa"/>
            <w:tcBorders>
              <w:bottom w:val="single" w:sz="4" w:space="0" w:color="000000"/>
              <w:right w:val="single" w:sz="4" w:space="0" w:color="000000"/>
            </w:tcBorders>
            <w:shd w:color="auto" w:fill="auto" w:val="clear"/>
            <w:vAlign w:val="center"/>
          </w:tcPr>
          <w:p>
            <w:pPr>
              <w:pStyle w:val="Normal"/>
              <w:spacing w:lineRule="auto" w:line="240" w:before="0" w:after="0"/>
              <w:jc w:val="center"/>
              <w:rPr>
                <w:rFonts w:ascii="Times New Roman" w:hAnsi="Times New Roman" w:eastAsia="Times New Roman"/>
                <w:color w:val="000000"/>
                <w:lang w:eastAsia="pt-BR"/>
              </w:rPr>
            </w:pPr>
            <w:r>
              <w:rPr>
                <w:rFonts w:eastAsia="Times New Roman" w:ascii="Times New Roman" w:hAnsi="Times New Roman"/>
                <w:color w:val="000000"/>
                <w:lang w:eastAsia="pt-BR"/>
              </w:rPr>
              <w:t>Serv/mês</w:t>
            </w:r>
          </w:p>
        </w:tc>
        <w:tc>
          <w:tcPr>
            <w:tcW w:w="676" w:type="dxa"/>
            <w:tcBorders>
              <w:bottom w:val="single" w:sz="4" w:space="0" w:color="000000"/>
              <w:right w:val="single" w:sz="4" w:space="0" w:color="000000"/>
            </w:tcBorders>
            <w:shd w:color="auto" w:fill="auto" w:val="clear"/>
            <w:vAlign w:val="center"/>
          </w:tcPr>
          <w:p>
            <w:pPr>
              <w:pStyle w:val="Normal"/>
              <w:spacing w:lineRule="auto" w:line="240" w:before="0" w:after="0"/>
              <w:jc w:val="center"/>
              <w:rPr>
                <w:rFonts w:ascii="Times New Roman" w:hAnsi="Times New Roman" w:eastAsia="Times New Roman"/>
                <w:color w:val="000000"/>
                <w:lang w:eastAsia="pt-BR"/>
              </w:rPr>
            </w:pPr>
            <w:r>
              <w:rPr>
                <w:rFonts w:eastAsia="Times New Roman" w:ascii="Times New Roman" w:hAnsi="Times New Roman"/>
                <w:color w:val="000000"/>
                <w:lang w:eastAsia="pt-BR"/>
              </w:rPr>
              <w:t>12</w:t>
            </w:r>
          </w:p>
        </w:tc>
        <w:tc>
          <w:tcPr>
            <w:tcW w:w="1469" w:type="dxa"/>
            <w:tcBorders>
              <w:top w:val="single" w:sz="4" w:space="0" w:color="000000"/>
              <w:bottom w:val="single" w:sz="4" w:space="0" w:color="000000"/>
              <w:right w:val="single" w:sz="4" w:space="0" w:color="000000"/>
            </w:tcBorders>
            <w:vAlign w:val="center"/>
          </w:tcPr>
          <w:p>
            <w:pPr>
              <w:pStyle w:val="Normal"/>
              <w:spacing w:lineRule="auto" w:line="240" w:before="0" w:after="0"/>
              <w:jc w:val="center"/>
              <w:rPr>
                <w:rFonts w:ascii="Times New Roman" w:hAnsi="Times New Roman" w:eastAsia="Times New Roman"/>
                <w:color w:val="auto"/>
                <w:sz w:val="22"/>
                <w:szCs w:val="22"/>
                <w:lang w:eastAsia="pt-BR"/>
              </w:rPr>
            </w:pPr>
            <w:r>
              <w:rPr>
                <w:rFonts w:eastAsia="Times New Roman" w:ascii="Times New Roman" w:hAnsi="Times New Roman"/>
                <w:color w:val="auto"/>
                <w:sz w:val="22"/>
                <w:szCs w:val="22"/>
                <w:lang w:eastAsia="pt-BR"/>
              </w:rPr>
              <w:t>R$1.403,08</w:t>
            </w:r>
          </w:p>
        </w:tc>
        <w:tc>
          <w:tcPr>
            <w:tcW w:w="14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pacing w:lineRule="auto" w:line="240" w:before="0" w:after="0"/>
              <w:jc w:val="center"/>
              <w:rPr>
                <w:rFonts w:ascii="Times New Roman" w:hAnsi="Times New Roman" w:eastAsia="Times New Roman"/>
                <w:color w:val="auto"/>
                <w:sz w:val="22"/>
                <w:szCs w:val="22"/>
                <w:lang w:eastAsia="pt-BR"/>
              </w:rPr>
            </w:pPr>
            <w:r>
              <w:rPr>
                <w:rFonts w:eastAsia="Times New Roman" w:ascii="Times New Roman" w:hAnsi="Times New Roman"/>
                <w:color w:val="auto"/>
                <w:sz w:val="22"/>
                <w:szCs w:val="22"/>
                <w:lang w:eastAsia="pt-BR"/>
              </w:rPr>
              <w:t>R$16.836,96</w:t>
            </w:r>
          </w:p>
        </w:tc>
      </w:tr>
      <w:tr>
        <w:trPr>
          <w:trHeight w:val="315" w:hRule="atLeast"/>
        </w:trPr>
        <w:tc>
          <w:tcPr>
            <w:tcW w:w="7079" w:type="dxa"/>
            <w:gridSpan w:val="5"/>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8"/>
                <w:tab w:val="left" w:pos="426" w:leader="none"/>
              </w:tabs>
              <w:spacing w:lineRule="auto" w:line="240" w:beforeAutospacing="1" w:after="119"/>
              <w:ind w:left="-11" w:hanging="0"/>
              <w:jc w:val="right"/>
              <w:rPr>
                <w:color w:val="auto"/>
              </w:rPr>
            </w:pPr>
            <w:r>
              <w:rPr>
                <w:rFonts w:eastAsia="Times New Roman" w:ascii="Times New Roman" w:hAnsi="Times New Roman"/>
                <w:b/>
                <w:bCs/>
                <w:color w:val="auto"/>
                <w:lang w:eastAsia="pt-BR"/>
              </w:rPr>
              <w:t xml:space="preserve">Total </w:t>
            </w:r>
          </w:p>
        </w:tc>
        <w:tc>
          <w:tcPr>
            <w:tcW w:w="1420"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tabs>
                <w:tab w:val="clear" w:pos="708"/>
                <w:tab w:val="left" w:pos="426" w:leader="none"/>
              </w:tabs>
              <w:spacing w:lineRule="auto" w:line="240" w:beforeAutospacing="1" w:after="0"/>
              <w:ind w:left="-11" w:hanging="0"/>
              <w:jc w:val="center"/>
              <w:rPr>
                <w:rFonts w:ascii="Times New Roman" w:hAnsi="Times New Roman" w:eastAsia="Times New Roman"/>
                <w:color w:val="auto"/>
                <w:sz w:val="22"/>
                <w:szCs w:val="22"/>
                <w:lang w:eastAsia="pt-BR"/>
              </w:rPr>
            </w:pPr>
            <w:r>
              <w:rPr>
                <w:rFonts w:eastAsia="Times New Roman" w:ascii="Times New Roman" w:hAnsi="Times New Roman"/>
                <w:color w:val="auto"/>
                <w:sz w:val="22"/>
                <w:szCs w:val="22"/>
                <w:lang w:eastAsia="pt-BR"/>
              </w:rPr>
              <w:t>R$16.836,96</w:t>
            </w:r>
          </w:p>
        </w:tc>
      </w:tr>
    </w:tbl>
    <w:p>
      <w:pPr>
        <w:pStyle w:val="Normal"/>
        <w:jc w:val="both"/>
        <w:rPr>
          <w:rFonts w:ascii="Times New Roman" w:hAnsi="Times New Roman"/>
        </w:rPr>
      </w:pPr>
      <w:r>
        <w:rPr>
          <w:rFonts w:ascii="Times New Roman" w:hAnsi="Times New Roman"/>
        </w:rPr>
      </w:r>
    </w:p>
    <w:p>
      <w:pPr>
        <w:pStyle w:val="Default"/>
        <w:rPr>
          <w:rFonts w:ascii="Times New Roman" w:hAnsi="Times New Roman"/>
        </w:rPr>
      </w:pPr>
      <w:r>
        <w:rPr>
          <w:rFonts w:eastAsia="Times New Roman" w:ascii="Times New Roman" w:hAnsi="Times New Roman"/>
          <w:lang w:eastAsia="pt-BR"/>
        </w:rPr>
        <w:t xml:space="preserve">1.2.1. O valor de referência foi obtido por meio da </w:t>
      </w:r>
      <w:r>
        <w:rPr>
          <w:rFonts w:eastAsia="Times New Roman" w:cs="Verdana" w:ascii="Times New Roman" w:hAnsi="Times New Roman"/>
          <w:color w:val="000000"/>
          <w:sz w:val="24"/>
          <w:szCs w:val="24"/>
          <w:lang w:eastAsia="pt-BR"/>
        </w:rPr>
        <w:t>pesquisa de preços anexada</w:t>
      </w:r>
      <w:r>
        <w:rPr>
          <w:rFonts w:eastAsia="Times New Roman" w:ascii="Times New Roman" w:hAnsi="Times New Roman"/>
          <w:lang w:eastAsia="pt-BR"/>
        </w:rPr>
        <w:t xml:space="preserve"> ao Processo 23080.</w:t>
      </w:r>
      <w:r>
        <w:rPr>
          <w:rFonts w:eastAsia="Times New Roman" w:ascii="Times New Roman" w:hAnsi="Times New Roman"/>
          <w:bCs/>
          <w:sz w:val="23"/>
          <w:szCs w:val="23"/>
          <w:lang w:eastAsia="pt-BR"/>
        </w:rPr>
        <w:t xml:space="preserve"> </w:t>
      </w:r>
      <w:r>
        <w:rPr>
          <w:rFonts w:eastAsia="Calibri" w:cs="Verdana" w:ascii="Times New Roman" w:hAnsi="Times New Roman"/>
          <w:b w:val="false"/>
          <w:bCs w:val="false"/>
          <w:color w:val="000000"/>
          <w:kern w:val="0"/>
          <w:sz w:val="23"/>
          <w:szCs w:val="23"/>
          <w:highlight w:val="yellow"/>
          <w:lang w:val="pt-BR" w:eastAsia="pt-BR" w:bidi="ar-SA"/>
        </w:rPr>
        <w:t>XX</w:t>
      </w:r>
    </w:p>
    <w:p>
      <w:pPr>
        <w:pStyle w:val="Default"/>
        <w:rPr>
          <w:rFonts w:ascii="Times New Roman" w:hAnsi="Times New Roman"/>
        </w:rPr>
      </w:pPr>
      <w:r>
        <w:rPr>
          <w:rFonts w:ascii="Times New Roman" w:hAnsi="Times New Roman"/>
        </w:rPr>
      </w:r>
      <w:bookmarkStart w:id="0" w:name="_GoBack"/>
      <w:bookmarkStart w:id="1" w:name="_GoBack"/>
      <w:bookmarkEnd w:id="1"/>
    </w:p>
    <w:p>
      <w:pPr>
        <w:pStyle w:val="Normal"/>
        <w:jc w:val="both"/>
        <w:rPr>
          <w:rFonts w:ascii="Times New Roman" w:hAnsi="Times New Roman"/>
          <w:b/>
          <w:b/>
        </w:rPr>
      </w:pPr>
      <w:r>
        <w:rPr>
          <w:rFonts w:ascii="Times New Roman" w:hAnsi="Times New Roman"/>
          <w:b/>
        </w:rPr>
        <w:t>2. OBJETIVO E JUSTIFICATIVA</w:t>
      </w:r>
    </w:p>
    <w:p>
      <w:pPr>
        <w:pStyle w:val="Normal"/>
        <w:jc w:val="both"/>
        <w:rPr/>
      </w:pPr>
      <w:r>
        <w:rPr>
          <w:rFonts w:ascii="Times New Roman" w:hAnsi="Times New Roman"/>
        </w:rPr>
        <w:t xml:space="preserve">2.1. O objetivo desta licitação é a concessão de área física para exploração de serviços de reprografia, impressão, digitalização e encadernação para o atendimento de alunos, professores, servidores e comunidade universitária em geral no Centro </w:t>
      </w:r>
      <w:r>
        <w:rPr>
          <w:rFonts w:eastAsia="Calibri" w:cs="Verdana" w:ascii="Times New Roman" w:hAnsi="Times New Roman"/>
          <w:b w:val="false"/>
          <w:bCs w:val="false"/>
          <w:color w:val="000000"/>
          <w:kern w:val="0"/>
          <w:sz w:val="23"/>
          <w:szCs w:val="23"/>
          <w:highlight w:val="yellow"/>
          <w:lang w:val="pt-BR" w:eastAsia="pt-BR" w:bidi="ar-SA"/>
        </w:rPr>
        <w:t>XX</w:t>
      </w:r>
      <w:r>
        <w:rPr>
          <w:rFonts w:ascii="Times New Roman" w:hAnsi="Times New Roman"/>
        </w:rPr>
        <w:t xml:space="preserve"> da UFSC.</w:t>
      </w:r>
    </w:p>
    <w:p>
      <w:pPr>
        <w:pStyle w:val="Normal"/>
        <w:jc w:val="both"/>
        <w:rPr>
          <w:rFonts w:ascii="Times New Roman" w:hAnsi="Times New Roman"/>
        </w:rPr>
      </w:pPr>
      <w:r>
        <w:rPr>
          <w:rFonts w:ascii="Times New Roman" w:hAnsi="Times New Roman"/>
        </w:rPr>
        <w:t xml:space="preserve">2.2. A presente licitação justifica-se por serem os serviços de reprografia de fundamental importância para toda a comunidade universitária, somada ao fato de o Centro </w:t>
      </w:r>
      <w:r>
        <w:rPr>
          <w:rFonts w:eastAsia="Calibri" w:cs="Verdana" w:ascii="Times New Roman" w:hAnsi="Times New Roman"/>
          <w:b w:val="false"/>
          <w:bCs w:val="false"/>
          <w:color w:val="000000"/>
          <w:kern w:val="0"/>
          <w:sz w:val="23"/>
          <w:szCs w:val="23"/>
          <w:highlight w:val="yellow"/>
          <w:lang w:val="pt-BR" w:eastAsia="pt-BR" w:bidi="ar-SA"/>
        </w:rPr>
        <w:t>XX</w:t>
      </w:r>
      <w:r>
        <w:rPr>
          <w:rFonts w:ascii="Times New Roman" w:hAnsi="Times New Roman"/>
        </w:rPr>
        <w:t xml:space="preserve"> não possuir em sua estrutura pessoal e maquinário que possam ser utilizados para a prestação dos serviços de forma a oferecer esses serviços adequadamente.</w:t>
      </w:r>
    </w:p>
    <w:p>
      <w:pPr>
        <w:pStyle w:val="Normal"/>
        <w:jc w:val="both"/>
        <w:rPr>
          <w:rFonts w:ascii="Times New Roman" w:hAnsi="Times New Roman"/>
        </w:rPr>
      </w:pPr>
      <w:r>
        <w:rPr>
          <w:rFonts w:ascii="Times New Roman" w:hAnsi="Times New Roman"/>
        </w:rPr>
      </w:r>
    </w:p>
    <w:p>
      <w:pPr>
        <w:pStyle w:val="Normal"/>
        <w:jc w:val="both"/>
        <w:rPr>
          <w:rFonts w:ascii="Times New Roman" w:hAnsi="Times New Roman"/>
          <w:b/>
          <w:b/>
        </w:rPr>
      </w:pPr>
      <w:r>
        <w:rPr>
          <w:rFonts w:ascii="Times New Roman" w:hAnsi="Times New Roman"/>
          <w:b/>
        </w:rPr>
        <w:t>3. CRITÉRIO DE JULGAMENTO E DE PARTICIPAÇÃO</w:t>
      </w:r>
    </w:p>
    <w:p>
      <w:pPr>
        <w:pStyle w:val="Normal"/>
        <w:jc w:val="both"/>
        <w:rPr>
          <w:rFonts w:ascii="Times New Roman" w:hAnsi="Times New Roman"/>
        </w:rPr>
      </w:pPr>
      <w:r>
        <w:rPr>
          <w:rFonts w:ascii="Times New Roman" w:hAnsi="Times New Roman"/>
        </w:rPr>
        <w:t>3.1. PREGÃO, tipo MAIOR OFERTA, segundo as condições estabelecidas no edital e nos seus anexos, cujos termos igualmente o integram.</w:t>
      </w:r>
    </w:p>
    <w:p>
      <w:pPr>
        <w:pStyle w:val="Normal"/>
        <w:jc w:val="both"/>
        <w:rPr>
          <w:rFonts w:ascii="Times New Roman" w:hAnsi="Times New Roman"/>
        </w:rPr>
      </w:pPr>
      <w:r>
        <w:rPr>
          <w:rFonts w:ascii="Times New Roman" w:hAnsi="Times New Roman"/>
        </w:rPr>
        <w:t>3.2. Ao valor mensal ofertado pela CONCESSIONÁRIA serão acrescidos seus gastos com o consumo de energia elétrica durante o mês de referência.</w:t>
      </w:r>
    </w:p>
    <w:p>
      <w:pPr>
        <w:pStyle w:val="Normal"/>
        <w:tabs>
          <w:tab w:val="clear" w:pos="708"/>
          <w:tab w:val="left" w:pos="426" w:leader="none"/>
        </w:tabs>
        <w:spacing w:lineRule="auto" w:line="240" w:before="280" w:after="119"/>
        <w:jc w:val="both"/>
        <w:rPr/>
      </w:pPr>
      <w:r>
        <w:rPr/>
      </w:r>
    </w:p>
    <w:p>
      <w:pPr>
        <w:pStyle w:val="Normal"/>
        <w:jc w:val="both"/>
        <w:rPr>
          <w:rFonts w:ascii="Times New Roman" w:hAnsi="Times New Roman"/>
          <w:b/>
          <w:b/>
        </w:rPr>
      </w:pPr>
      <w:r>
        <w:rPr>
          <w:rFonts w:ascii="Times New Roman" w:hAnsi="Times New Roman"/>
          <w:b/>
        </w:rPr>
        <w:t>4. LOCAIS E HORÁRIOS DE EXECUÇÃO DOS SERVIÇOS</w:t>
      </w:r>
    </w:p>
    <w:p>
      <w:pPr>
        <w:pStyle w:val="Normal"/>
        <w:jc w:val="both"/>
        <w:rPr>
          <w:rFonts w:ascii="Times New Roman" w:hAnsi="Times New Roman"/>
        </w:rPr>
      </w:pPr>
      <w:r>
        <w:rPr>
          <w:rFonts w:ascii="Times New Roman" w:hAnsi="Times New Roman"/>
        </w:rPr>
        <w:t xml:space="preserve">4.1. A área a ser concedida está localizada no </w:t>
      </w:r>
      <w:r>
        <w:rPr>
          <w:rFonts w:eastAsia="Times New Roman" w:ascii="Times New Roman" w:hAnsi="Times New Roman"/>
          <w:lang w:eastAsia="pt-BR"/>
        </w:rPr>
        <w:t xml:space="preserve">Centro </w:t>
      </w:r>
      <w:r>
        <w:rPr>
          <w:rFonts w:eastAsia="Calibri" w:cs="Verdana" w:ascii="Times New Roman" w:hAnsi="Times New Roman"/>
          <w:b w:val="false"/>
          <w:bCs w:val="false"/>
          <w:color w:val="000000"/>
          <w:kern w:val="0"/>
          <w:sz w:val="23"/>
          <w:szCs w:val="23"/>
          <w:highlight w:val="yellow"/>
          <w:lang w:val="pt-BR" w:eastAsia="pt-BR" w:bidi="ar-SA"/>
        </w:rPr>
        <w:t>XX</w:t>
      </w:r>
      <w:r>
        <w:rPr>
          <w:rFonts w:ascii="Times New Roman" w:hAnsi="Times New Roman"/>
        </w:rPr>
        <w:t>, conforme planta baixa no Anexo III do Edital.</w:t>
      </w:r>
    </w:p>
    <w:p>
      <w:pPr>
        <w:pStyle w:val="Normal"/>
        <w:jc w:val="both"/>
        <w:rPr>
          <w:rFonts w:ascii="Times New Roman" w:hAnsi="Times New Roman"/>
        </w:rPr>
      </w:pPr>
      <w:r>
        <w:rPr>
          <w:rFonts w:ascii="Times New Roman" w:hAnsi="Times New Roman"/>
        </w:rPr>
        <w:t>4.2. O serviço objeto desta concessão deverá ser realizado de segunda-feira a sexta-feira, das 08h00min às 21h00min.</w:t>
      </w:r>
    </w:p>
    <w:p>
      <w:pPr>
        <w:pStyle w:val="Normal"/>
        <w:tabs>
          <w:tab w:val="clear" w:pos="708"/>
          <w:tab w:val="left" w:pos="426" w:leader="none"/>
        </w:tabs>
        <w:spacing w:lineRule="auto" w:line="240" w:before="280" w:after="119"/>
        <w:ind w:left="426" w:hanging="0"/>
        <w:jc w:val="both"/>
        <w:rPr>
          <w:rFonts w:ascii="Times New Roman" w:hAnsi="Times New Roman" w:eastAsia="Times New Roman"/>
          <w:lang w:eastAsia="pt-BR"/>
        </w:rPr>
      </w:pPr>
      <w:r>
        <w:rPr>
          <w:rFonts w:eastAsia="Times New Roman" w:ascii="Times New Roman" w:hAnsi="Times New Roman"/>
          <w:lang w:eastAsia="pt-BR"/>
        </w:rPr>
        <w:t>4.2.1. A CONCESSIONÁRIA poderá executar os serviços aos sábados e domingos ou em outros horários, de acordo com a conveniência e a critério da CONCESSIONÁRIA, mediante autorização formal da CONCEDENTE;</w:t>
      </w:r>
    </w:p>
    <w:p>
      <w:pPr>
        <w:pStyle w:val="Normal"/>
        <w:jc w:val="both"/>
        <w:rPr>
          <w:rFonts w:ascii="Times New Roman" w:hAnsi="Times New Roman"/>
        </w:rPr>
      </w:pPr>
      <w:r>
        <w:rPr>
          <w:rFonts w:ascii="Times New Roman" w:hAnsi="Times New Roman"/>
        </w:rPr>
        <w:t>4.3. Os dias e o horário de funcionamento, incluindo durante o período de recesso escolar, podem ser alterados por interesse da CONCEDENTE e devidamente comunicado à CONCESSIONÁRIA com antecedência mínima de 30 dias.</w:t>
      </w:r>
    </w:p>
    <w:p>
      <w:pPr>
        <w:pStyle w:val="Normal"/>
        <w:jc w:val="both"/>
        <w:rPr>
          <w:rFonts w:ascii="Times New Roman" w:hAnsi="Times New Roman"/>
        </w:rPr>
      </w:pPr>
      <w:r>
        <w:rPr>
          <w:rFonts w:ascii="Times New Roman" w:hAnsi="Times New Roman"/>
        </w:rPr>
      </w:r>
    </w:p>
    <w:p>
      <w:pPr>
        <w:pStyle w:val="Normal"/>
        <w:jc w:val="both"/>
        <w:rPr>
          <w:rFonts w:ascii="Times New Roman" w:hAnsi="Times New Roman"/>
          <w:b/>
          <w:b/>
        </w:rPr>
      </w:pPr>
      <w:r>
        <w:rPr>
          <w:rFonts w:ascii="Times New Roman" w:hAnsi="Times New Roman"/>
          <w:b/>
        </w:rPr>
        <w:t>5. CUSTOS COM IMPOSTOS, TAXAS, ACESSÓRIOS E OUTROS</w:t>
      </w:r>
    </w:p>
    <w:p>
      <w:pPr>
        <w:pStyle w:val="Normal"/>
        <w:jc w:val="both"/>
        <w:rPr>
          <w:rFonts w:ascii="Times New Roman" w:hAnsi="Times New Roman"/>
        </w:rPr>
      </w:pPr>
      <w:r>
        <w:rPr>
          <w:rFonts w:ascii="Times New Roman" w:hAnsi="Times New Roman"/>
        </w:rPr>
        <w:t>5.1. Os custos com os tributos, contribuições fiscais e parafiscais que incidam ou venham a incidir, direta e indiretamente, sobre os serviços, bem como as despesas com pessoal, manutenção e outros para execução do objeto, serão de responsabilidade única e exclusiva da empresa vencedora.</w:t>
      </w:r>
    </w:p>
    <w:p>
      <w:pPr>
        <w:pStyle w:val="Normal"/>
        <w:jc w:val="both"/>
        <w:rPr>
          <w:rFonts w:ascii="Times New Roman" w:hAnsi="Times New Roman"/>
        </w:rPr>
      </w:pPr>
      <w:r>
        <w:rPr>
          <w:rFonts w:ascii="Times New Roman" w:hAnsi="Times New Roman"/>
        </w:rPr>
        <w:t>5.2. São custos da contratada, todo e qualquer valor pertinente à aquisição de peças para substituição ou ainda para a prestação dos serviços como um todo, atendendo plenamente as necessidades da contratante.</w:t>
      </w:r>
    </w:p>
    <w:p>
      <w:pPr>
        <w:pStyle w:val="Normal"/>
        <w:jc w:val="both"/>
        <w:rPr>
          <w:rFonts w:ascii="Times New Roman" w:hAnsi="Times New Roman"/>
        </w:rPr>
      </w:pPr>
      <w:r>
        <w:rPr>
          <w:rFonts w:ascii="Times New Roman" w:hAnsi="Times New Roman"/>
        </w:rPr>
      </w:r>
    </w:p>
    <w:p>
      <w:pPr>
        <w:pStyle w:val="Normal"/>
        <w:jc w:val="both"/>
        <w:rPr>
          <w:rFonts w:ascii="Times New Roman" w:hAnsi="Times New Roman"/>
          <w:b/>
          <w:b/>
        </w:rPr>
      </w:pPr>
      <w:r>
        <w:rPr>
          <w:rFonts w:ascii="Times New Roman" w:hAnsi="Times New Roman"/>
          <w:b/>
        </w:rPr>
        <w:t>6. OBRIGAÇÕES DA CONCESSIONÁRIA</w:t>
      </w:r>
    </w:p>
    <w:p>
      <w:pPr>
        <w:pStyle w:val="Normal"/>
        <w:jc w:val="both"/>
        <w:rPr>
          <w:rFonts w:ascii="Times New Roman" w:hAnsi="Times New Roman"/>
        </w:rPr>
      </w:pPr>
      <w:r>
        <w:rPr>
          <w:rFonts w:ascii="Times New Roman" w:hAnsi="Times New Roman"/>
        </w:rPr>
        <w:t>6.1. Manter, durante a execução do contrato, todas as condições exigidas para a habilitação e qualificação.</w:t>
      </w:r>
    </w:p>
    <w:p>
      <w:pPr>
        <w:pStyle w:val="Normal"/>
        <w:jc w:val="both"/>
        <w:rPr>
          <w:rFonts w:ascii="Times New Roman" w:hAnsi="Times New Roman"/>
        </w:rPr>
      </w:pPr>
      <w:r>
        <w:rPr>
          <w:rFonts w:ascii="Times New Roman" w:hAnsi="Times New Roman"/>
        </w:rPr>
        <w:t>6.2. Atender a todas as determinações Federais, Estaduais e Municipais, referentes ao objeto vinculado a esta licitação.</w:t>
      </w:r>
    </w:p>
    <w:p>
      <w:pPr>
        <w:pStyle w:val="Normal"/>
        <w:jc w:val="both"/>
        <w:rPr>
          <w:rFonts w:ascii="Times New Roman" w:hAnsi="Times New Roman"/>
        </w:rPr>
      </w:pPr>
      <w:r>
        <w:rPr>
          <w:rFonts w:ascii="Times New Roman" w:hAnsi="Times New Roman"/>
        </w:rPr>
        <w:t>6.3. Observar a legislação que regula a utilização de direitos autorais, em especial a Lei 9.610/98 ou venha a substituí-la, não sendo a CONCEDENTE responsável no caso de eventual violação nesse âmbito.</w:t>
      </w:r>
    </w:p>
    <w:p>
      <w:pPr>
        <w:pStyle w:val="Normal"/>
        <w:jc w:val="both"/>
        <w:rPr>
          <w:rFonts w:ascii="Times New Roman" w:hAnsi="Times New Roman"/>
        </w:rPr>
      </w:pPr>
      <w:r>
        <w:rPr>
          <w:rFonts w:ascii="Times New Roman" w:hAnsi="Times New Roman"/>
        </w:rPr>
        <w:t xml:space="preserve">6.4. Providenciar e manter atualizadas todas as licenças, alvarás e encargos tributários, civis e comerciais incidentes sobre as atividades a serem exercidas com base neste Termo de Referência. </w:t>
      </w:r>
    </w:p>
    <w:p>
      <w:pPr>
        <w:pStyle w:val="Normal"/>
        <w:ind w:left="426" w:hanging="0"/>
        <w:jc w:val="both"/>
        <w:rPr>
          <w:rFonts w:ascii="Times New Roman" w:hAnsi="Times New Roman"/>
        </w:rPr>
      </w:pPr>
      <w:r>
        <w:rPr>
          <w:rFonts w:ascii="Times New Roman" w:hAnsi="Times New Roman"/>
        </w:rPr>
        <w:t>6.4.1. A CONCESSIONÁRIA deve apresentar à CONCEDENTE, sempre que for solicitada, a documentação comprobatória citada neste item.</w:t>
      </w:r>
    </w:p>
    <w:p>
      <w:pPr>
        <w:pStyle w:val="Normal"/>
        <w:ind w:left="426" w:hanging="0"/>
        <w:jc w:val="both"/>
        <w:rPr>
          <w:rFonts w:ascii="Times New Roman" w:hAnsi="Times New Roman"/>
        </w:rPr>
      </w:pPr>
      <w:r>
        <w:rPr>
          <w:rFonts w:ascii="Times New Roman" w:hAnsi="Times New Roman"/>
        </w:rPr>
        <w:t>6.4.2. A não apresentação de qualquer certidão e/ou certificado exigidos neste Termo de Referência constitui motivo para rescisão unilateral do Termo de Concessão de Uso.</w:t>
      </w:r>
    </w:p>
    <w:p>
      <w:pPr>
        <w:pStyle w:val="Normal"/>
        <w:jc w:val="both"/>
        <w:rPr>
          <w:rFonts w:ascii="Times New Roman" w:hAnsi="Times New Roman"/>
        </w:rPr>
      </w:pPr>
      <w:r>
        <w:rPr>
          <w:rFonts w:ascii="Times New Roman" w:hAnsi="Times New Roman"/>
        </w:rPr>
        <w:t>6.5. Apresentar à CONCEDENTE, no momento em que se iniciarem os serviços, nome completo e telefone do Responsável pela CONCESSIONÁRIA, que será seu representante para sanar qualquer eventual dúvida durante a vigência contratual.</w:t>
      </w:r>
    </w:p>
    <w:p>
      <w:pPr>
        <w:pStyle w:val="Normal"/>
        <w:jc w:val="both"/>
        <w:rPr>
          <w:rFonts w:ascii="Times New Roman" w:hAnsi="Times New Roman"/>
        </w:rPr>
      </w:pPr>
      <w:r>
        <w:rPr>
          <w:rFonts w:ascii="Times New Roman" w:hAnsi="Times New Roman"/>
        </w:rPr>
        <w:t>6.6. Indicar local para entrega de documento de qualquer natureza durante a vigência do contrato, ficando todos os empregados habilitados a recebê-lo.</w:t>
      </w:r>
    </w:p>
    <w:p>
      <w:pPr>
        <w:pStyle w:val="Normal"/>
        <w:jc w:val="both"/>
        <w:rPr>
          <w:rFonts w:ascii="Times New Roman" w:hAnsi="Times New Roman"/>
        </w:rPr>
      </w:pPr>
      <w:r>
        <w:rPr>
          <w:rFonts w:ascii="Times New Roman" w:hAnsi="Times New Roman"/>
        </w:rPr>
        <w:t>6.7. Apresentar, por escrito, a tabela de todos os produtos e serviços que serão comercializados durante a vigência contratual com seus respectivos preços no momento da assinatura do contrato, para conferência e aprovação da CONCEDENTE, não sendo permitida qualquer inclusão de produtos após a assinatura do contrato sem prévia solicitação e autorização por escrito da CONCEDENTE.</w:t>
      </w:r>
    </w:p>
    <w:p>
      <w:pPr>
        <w:pStyle w:val="Normal"/>
        <w:jc w:val="both"/>
        <w:rPr>
          <w:rFonts w:ascii="Times New Roman" w:hAnsi="Times New Roman"/>
        </w:rPr>
      </w:pPr>
      <w:r>
        <w:rPr>
          <w:rFonts w:ascii="Times New Roman" w:hAnsi="Times New Roman"/>
        </w:rPr>
        <w:t>6.8. Apresentar junto à CONCEDENTE comprovação de contratação de seguro contra incêndio e roubo de bens e equipamentos relativamente à área abrangida, com cobertura adicional dos riscos de explosão, ou outro documento que comprove a área segurada, no prazo de 5 dias úteis após a assinatura do presente instrumento.</w:t>
      </w:r>
    </w:p>
    <w:p>
      <w:pPr>
        <w:pStyle w:val="Normal"/>
        <w:tabs>
          <w:tab w:val="clear" w:pos="708"/>
          <w:tab w:val="left" w:pos="426" w:leader="none"/>
        </w:tabs>
        <w:ind w:left="426" w:hanging="0"/>
        <w:jc w:val="both"/>
        <w:rPr>
          <w:rFonts w:ascii="Times New Roman" w:hAnsi="Times New Roman"/>
        </w:rPr>
      </w:pPr>
      <w:r>
        <w:rPr>
          <w:rFonts w:ascii="Times New Roman" w:hAnsi="Times New Roman"/>
        </w:rPr>
        <w:t>6.8.1. A CONCESSIONÁRIA terá o prazo de 30 dias a contar da apresentação da comprovação de contratação do seguro para apresentar cópia da apólice definitiva.</w:t>
      </w:r>
    </w:p>
    <w:p>
      <w:pPr>
        <w:pStyle w:val="Normal"/>
        <w:jc w:val="both"/>
        <w:rPr>
          <w:rFonts w:ascii="Times New Roman" w:hAnsi="Times New Roman"/>
        </w:rPr>
      </w:pPr>
      <w:r>
        <w:rPr>
          <w:rFonts w:ascii="Times New Roman" w:hAnsi="Times New Roman"/>
        </w:rPr>
        <w:t>6.9. Responsabilizar-se pelo recolhimento de taxas, obtenção de alvarás e quaisquer outros encargos tributários, civis ou comerciais incidentes sobre as atividades a serem exercidas com base neste Termo de Referência.</w:t>
      </w:r>
    </w:p>
    <w:p>
      <w:pPr>
        <w:pStyle w:val="Normal"/>
        <w:jc w:val="both"/>
        <w:rPr>
          <w:rFonts w:ascii="Times New Roman" w:hAnsi="Times New Roman"/>
        </w:rPr>
      </w:pPr>
      <w:r>
        <w:rPr>
          <w:rFonts w:ascii="Times New Roman" w:hAnsi="Times New Roman"/>
        </w:rPr>
        <w:t>6.10. Retirar mensalmente na CONCEDENTE os boletos de contraprestação e proceder seu pagamento nas datas e condições definidas neste Termo de Referência.</w:t>
      </w:r>
    </w:p>
    <w:p>
      <w:pPr>
        <w:pStyle w:val="Normal"/>
        <w:jc w:val="both"/>
        <w:rPr>
          <w:rFonts w:ascii="Times New Roman" w:hAnsi="Times New Roman"/>
        </w:rPr>
      </w:pPr>
      <w:r>
        <w:rPr>
          <w:rFonts w:ascii="Times New Roman" w:hAnsi="Times New Roman"/>
        </w:rPr>
        <w:t>6.11. Responsabilizar-se pela quitação de eventuais multas aplicadas por autoridade federal, estadual ou municipal relacionadas com os serviços prestados.</w:t>
      </w:r>
    </w:p>
    <w:p>
      <w:pPr>
        <w:pStyle w:val="Normal"/>
        <w:jc w:val="both"/>
        <w:rPr>
          <w:rFonts w:ascii="Times New Roman" w:hAnsi="Times New Roman"/>
        </w:rPr>
      </w:pPr>
      <w:r>
        <w:rPr>
          <w:rFonts w:ascii="Times New Roman" w:hAnsi="Times New Roman"/>
        </w:rPr>
        <w:t>6.12. Exercer as atividades relacionadas ao objeto desta concessão, no mínimo, de segunda-feira a sexta-feira, das 08h00min às 21h00min.</w:t>
      </w:r>
    </w:p>
    <w:p>
      <w:pPr>
        <w:pStyle w:val="Normal"/>
        <w:jc w:val="both"/>
        <w:rPr>
          <w:rFonts w:ascii="Times New Roman" w:hAnsi="Times New Roman"/>
        </w:rPr>
      </w:pPr>
      <w:r>
        <w:rPr>
          <w:rFonts w:ascii="Times New Roman" w:hAnsi="Times New Roman"/>
        </w:rPr>
        <w:t xml:space="preserve">6.13. Atender com a máxima polidez e presteza a comunidade universitária e tantos quantos utilizam o ambiente objeto desta concessão. </w:t>
      </w:r>
    </w:p>
    <w:p>
      <w:pPr>
        <w:pStyle w:val="Normal"/>
        <w:jc w:val="both"/>
        <w:rPr>
          <w:rFonts w:ascii="Times New Roman" w:hAnsi="Times New Roman"/>
        </w:rPr>
      </w:pPr>
      <w:r>
        <w:rPr>
          <w:rFonts w:ascii="Times New Roman" w:hAnsi="Times New Roman"/>
        </w:rPr>
        <w:t>6.14. Oferecer aos usuários produtos e serviços de boa qualidade.</w:t>
      </w:r>
    </w:p>
    <w:p>
      <w:pPr>
        <w:pStyle w:val="Normal"/>
        <w:jc w:val="both"/>
        <w:rPr>
          <w:rFonts w:ascii="Times New Roman" w:hAnsi="Times New Roman"/>
        </w:rPr>
      </w:pPr>
      <w:r>
        <w:rPr>
          <w:rFonts w:ascii="Times New Roman" w:hAnsi="Times New Roman"/>
        </w:rPr>
        <w:t>6.15. Fixar em local bem visível a tabela de preços previamente aprovada pela CONCEDENTE, obedecendo-a integralmente.</w:t>
      </w:r>
    </w:p>
    <w:p>
      <w:pPr>
        <w:pStyle w:val="Normal"/>
        <w:jc w:val="both"/>
        <w:rPr>
          <w:rFonts w:ascii="Times New Roman" w:hAnsi="Times New Roman"/>
        </w:rPr>
      </w:pPr>
      <w:r>
        <w:rPr>
          <w:rFonts w:ascii="Times New Roman" w:hAnsi="Times New Roman"/>
        </w:rPr>
        <w:t xml:space="preserve">6.16. Observar a qualidade dos serviços ofertados conforme item 9.1, submetendo previamente à aprovação da CONCEDENTE quaisquer modificações ou alterações dos serviços. </w:t>
      </w:r>
    </w:p>
    <w:p>
      <w:pPr>
        <w:pStyle w:val="Normal"/>
        <w:jc w:val="both"/>
        <w:rPr>
          <w:rFonts w:ascii="Times New Roman" w:hAnsi="Times New Roman"/>
        </w:rPr>
      </w:pPr>
      <w:r>
        <w:rPr>
          <w:rFonts w:ascii="Times New Roman" w:hAnsi="Times New Roman"/>
        </w:rPr>
        <w:t>6.17. Zelar pela boa e completa execução dos serviços contratados, facilitando, por todos os meios ao seu alcance, a ampla ação fiscalizadora dos prepostos designados pela CONCEDENTE, atendendo prontamente às observações e exigências que lhe forem solicitadas.</w:t>
      </w:r>
    </w:p>
    <w:p>
      <w:pPr>
        <w:pStyle w:val="Normal"/>
        <w:jc w:val="both"/>
        <w:rPr>
          <w:rFonts w:ascii="Times New Roman" w:hAnsi="Times New Roman"/>
        </w:rPr>
      </w:pPr>
      <w:r>
        <w:rPr>
          <w:rFonts w:ascii="Times New Roman" w:hAnsi="Times New Roman"/>
        </w:rPr>
        <w:t xml:space="preserve">6.18. Permitir a fiscalização da execução do contrato por seu fiscal ou por servidor designado pela CONCEDENTE. </w:t>
      </w:r>
    </w:p>
    <w:p>
      <w:pPr>
        <w:pStyle w:val="Normal"/>
        <w:jc w:val="both"/>
        <w:rPr>
          <w:rFonts w:ascii="Times New Roman" w:hAnsi="Times New Roman"/>
        </w:rPr>
      </w:pPr>
      <w:r>
        <w:rPr>
          <w:rFonts w:ascii="Times New Roman" w:hAnsi="Times New Roman"/>
        </w:rPr>
        <w:t>6.19. Corrigir imediatamente eventuais falhas observadas pelo fiscal designado pela CONCEDENTE.</w:t>
      </w:r>
    </w:p>
    <w:p>
      <w:pPr>
        <w:pStyle w:val="Normal"/>
        <w:jc w:val="both"/>
        <w:rPr>
          <w:rFonts w:ascii="Times New Roman" w:hAnsi="Times New Roman"/>
        </w:rPr>
      </w:pPr>
      <w:r>
        <w:rPr>
          <w:rFonts w:ascii="Times New Roman" w:hAnsi="Times New Roman"/>
        </w:rPr>
        <w:t xml:space="preserve">6.20. Manter e conservar às suas expensas a área concedida, devolvendo-a à CONCEDENTE, quando do término ou da rescisão desta concessão, desocupada e em perfeito estado de conservação, condições estas em que declara haver recebido o imóvel, incluindo pintura nova, nas mesmas cores e padrão da original. </w:t>
      </w:r>
    </w:p>
    <w:p>
      <w:pPr>
        <w:pStyle w:val="Normal"/>
        <w:jc w:val="both"/>
        <w:rPr>
          <w:rFonts w:ascii="Times New Roman" w:hAnsi="Times New Roman"/>
        </w:rPr>
      </w:pPr>
      <w:r>
        <w:rPr>
          <w:rFonts w:ascii="Times New Roman" w:hAnsi="Times New Roman"/>
        </w:rPr>
        <w:t>6.21. Assumir integral responsabilidade por todos e quaisquer danos, diretos ou indiretos, eventualmente causados à CONCEDENTE ou a terceiros, por si ou seus prepostos, em decorrência da execução do Termo de Concessão de Uso.</w:t>
      </w:r>
    </w:p>
    <w:p>
      <w:pPr>
        <w:pStyle w:val="Normal"/>
        <w:jc w:val="both"/>
        <w:rPr>
          <w:rFonts w:ascii="Times New Roman" w:hAnsi="Times New Roman"/>
        </w:rPr>
      </w:pPr>
      <w:r>
        <w:rPr>
          <w:rFonts w:ascii="Times New Roman" w:hAnsi="Times New Roman"/>
        </w:rPr>
        <w:t xml:space="preserve">6.22. Adquirir, instalar e manter às suas expensas, os equipamentos, móveis e utensílios necessários para o perfeito funcionamento desta concessão, devendo retirá-los do local quando do término ou rescisão do Termo de Concessão de Uso. </w:t>
      </w:r>
    </w:p>
    <w:p>
      <w:pPr>
        <w:pStyle w:val="Normal"/>
        <w:jc w:val="both"/>
        <w:rPr>
          <w:rFonts w:ascii="Times New Roman" w:hAnsi="Times New Roman"/>
        </w:rPr>
      </w:pPr>
      <w:r>
        <w:rPr>
          <w:rFonts w:ascii="Times New Roman" w:hAnsi="Times New Roman"/>
        </w:rPr>
        <w:t xml:space="preserve">6.23. Obter a prévia aprovação da CONCEDENTE para instalar qualquer material ou equipamento elétrico na área concedida após a assinatura do presente instrumento; </w:t>
      </w:r>
    </w:p>
    <w:p>
      <w:pPr>
        <w:pStyle w:val="Normal"/>
        <w:jc w:val="both"/>
        <w:rPr>
          <w:rFonts w:ascii="Times New Roman" w:hAnsi="Times New Roman"/>
        </w:rPr>
      </w:pPr>
      <w:r>
        <w:rPr>
          <w:rFonts w:ascii="Times New Roman" w:hAnsi="Times New Roman"/>
        </w:rPr>
        <w:t>6.24. Manter nas dependências da área concedida equipamentos de combate a incêndio de acordo com as normas vigentes;</w:t>
      </w:r>
    </w:p>
    <w:p>
      <w:pPr>
        <w:pStyle w:val="Normal"/>
        <w:jc w:val="both"/>
        <w:rPr>
          <w:rFonts w:ascii="Times New Roman" w:hAnsi="Times New Roman"/>
        </w:rPr>
      </w:pPr>
      <w:r>
        <w:rPr>
          <w:rFonts w:ascii="Times New Roman" w:hAnsi="Times New Roman"/>
        </w:rPr>
        <w:t>6.25. Manter, para a prestação dos serviços, inclusive em relação a limpeza do local, empregados categorizados, identificados com crachás e uniformes que demonstrem o vínculo com a CONCESSIONÁRIA, e hábeis para executar suas tarefas.</w:t>
      </w:r>
    </w:p>
    <w:p>
      <w:pPr>
        <w:pStyle w:val="Normal"/>
        <w:jc w:val="both"/>
        <w:rPr>
          <w:rFonts w:ascii="Times New Roman" w:hAnsi="Times New Roman"/>
        </w:rPr>
      </w:pPr>
      <w:r>
        <w:rPr>
          <w:rFonts w:ascii="Times New Roman" w:hAnsi="Times New Roman"/>
        </w:rPr>
        <w:t>6.26. Manter pessoal capaz de atender aos serviços sem interrupções, seja por motivo de férias, licença, falta ao serviço, demissão de empregados ou por qualquer outra razão, mantendo sempre o número de empregados necessários para a execução dos serviços.</w:t>
      </w:r>
    </w:p>
    <w:p>
      <w:pPr>
        <w:pStyle w:val="Normal"/>
        <w:jc w:val="both"/>
        <w:rPr>
          <w:rFonts w:ascii="Times New Roman" w:hAnsi="Times New Roman"/>
        </w:rPr>
      </w:pPr>
      <w:r>
        <w:rPr>
          <w:rFonts w:ascii="Times New Roman" w:hAnsi="Times New Roman"/>
        </w:rPr>
        <w:t>6.27. Fornecer equipamentos de segurança, ferramentas e outros necessários para a devida prestação do serviço.</w:t>
      </w:r>
    </w:p>
    <w:p>
      <w:pPr>
        <w:pStyle w:val="Normal"/>
        <w:jc w:val="both"/>
        <w:rPr>
          <w:rFonts w:ascii="Times New Roman" w:hAnsi="Times New Roman"/>
        </w:rPr>
      </w:pPr>
      <w:r>
        <w:rPr>
          <w:rFonts w:ascii="Times New Roman" w:hAnsi="Times New Roman"/>
        </w:rPr>
        <w:t>6.28. Assumir toda e qualquer obrigação trabalhista, previdenciária ou civil para com os empregados que exercerem suas atividades no local objeto desta concessão, devendo, antes do término do prazo do contrato, sanar possíveis pendências trabalhistas, relacionadas a salários, férias, aviso-prévio, recolhimento das contribuições trabalhistas e previdenciárias.</w:t>
      </w:r>
    </w:p>
    <w:p>
      <w:pPr>
        <w:pStyle w:val="Normal"/>
        <w:ind w:left="567" w:hanging="0"/>
        <w:jc w:val="both"/>
        <w:rPr>
          <w:rFonts w:ascii="Times New Roman" w:hAnsi="Times New Roman"/>
        </w:rPr>
      </w:pPr>
      <w:r>
        <w:rPr>
          <w:rFonts w:ascii="Times New Roman" w:hAnsi="Times New Roman"/>
        </w:rPr>
        <w:t>6.28.1. A inadimplência da CONCESSIONÁRIA com referência aos encargos estabelecidos não transfere a responsabilidade por seu pagamento à CONCEDENTE, nem poderá onerar o objeto deste Termo de Referência, razão pela qual a CONCESSIONÁRIA renuncia expressamente a qualquer vínculo de solidariedade, ativa ou passiva, para com a CONCEDENTE.</w:t>
      </w:r>
    </w:p>
    <w:p>
      <w:pPr>
        <w:pStyle w:val="Normal"/>
        <w:jc w:val="both"/>
        <w:rPr>
          <w:rFonts w:ascii="Times New Roman" w:hAnsi="Times New Roman"/>
        </w:rPr>
      </w:pPr>
      <w:r>
        <w:rPr>
          <w:rFonts w:ascii="Times New Roman" w:hAnsi="Times New Roman"/>
        </w:rPr>
        <w:t>6.29. Cumprir rigorosamente as normas de Medicina e Segurança do Trabalho, observando as determinações da Lei n.º 6.514, de 22/12/1977; Portaria n.º 3.214 de 8/6/1978 do Ministério do Trabalho, publicada no Diário Oficial da União de 6/7/1988 e suas NR’s (Normas Regulamentadoras), oferecendo a seus empregados as garantias e medidas indispensáveis de proteção, segurança e higiene do trabalho, mediante o uso de meios de proteção na execução dos serviços.</w:t>
      </w:r>
    </w:p>
    <w:p>
      <w:pPr>
        <w:pStyle w:val="Normal"/>
        <w:jc w:val="both"/>
        <w:rPr>
          <w:rFonts w:ascii="Times New Roman" w:hAnsi="Times New Roman"/>
        </w:rPr>
      </w:pPr>
      <w:r>
        <w:rPr>
          <w:rFonts w:ascii="Times New Roman" w:hAnsi="Times New Roman"/>
        </w:rPr>
        <w:t xml:space="preserve">6.30. Responsabilizar-se pela limpeza e higienização da área descrita no objeto do contrato. Para tanto, a CONCESSIONÁRIA deve providenciar diariamente: </w:t>
      </w:r>
    </w:p>
    <w:p>
      <w:pPr>
        <w:pStyle w:val="Normal"/>
        <w:ind w:left="567" w:hanging="0"/>
        <w:jc w:val="both"/>
        <w:rPr>
          <w:rFonts w:ascii="Times New Roman" w:hAnsi="Times New Roman"/>
        </w:rPr>
      </w:pPr>
      <w:r>
        <w:rPr>
          <w:rFonts w:ascii="Times New Roman" w:hAnsi="Times New Roman"/>
        </w:rPr>
        <w:t>6.30.1. Varrição de áreas de ocupação externas e internas;</w:t>
      </w:r>
    </w:p>
    <w:p>
      <w:pPr>
        <w:pStyle w:val="Normal"/>
        <w:ind w:left="567" w:hanging="0"/>
        <w:jc w:val="both"/>
        <w:rPr>
          <w:rFonts w:ascii="Times New Roman" w:hAnsi="Times New Roman"/>
        </w:rPr>
      </w:pPr>
      <w:r>
        <w:rPr>
          <w:rFonts w:ascii="Times New Roman" w:hAnsi="Times New Roman"/>
        </w:rPr>
        <w:t xml:space="preserve">6.30.2. Limpeza geral e sanitização dos equipamentos e utensílios; </w:t>
      </w:r>
    </w:p>
    <w:p>
      <w:pPr>
        <w:pStyle w:val="Normal"/>
        <w:ind w:left="567" w:hanging="0"/>
        <w:jc w:val="both"/>
        <w:rPr>
          <w:rFonts w:ascii="Times New Roman" w:hAnsi="Times New Roman"/>
        </w:rPr>
      </w:pPr>
      <w:r>
        <w:rPr>
          <w:rFonts w:ascii="Times New Roman" w:hAnsi="Times New Roman"/>
        </w:rPr>
        <w:t xml:space="preserve">6.30.3. Limpeza e sanitização adequada dos recipientes e locais de acondicionamento do lixo; </w:t>
      </w:r>
    </w:p>
    <w:p>
      <w:pPr>
        <w:pStyle w:val="Normal"/>
        <w:ind w:left="567" w:hanging="0"/>
        <w:jc w:val="both"/>
        <w:rPr/>
      </w:pPr>
      <w:r>
        <w:rPr>
          <w:rFonts w:ascii="Times New Roman" w:hAnsi="Times New Roman"/>
        </w:rPr>
        <w:t>6.30.4. Lavagem de paredes, pisos, vidros, portas, janelas (inclusive das áreas externas), equipamentos, ventiladores, entre outros.</w:t>
      </w:r>
    </w:p>
    <w:p>
      <w:pPr>
        <w:pStyle w:val="Normal"/>
        <w:jc w:val="both"/>
        <w:rPr>
          <w:rFonts w:ascii="Times New Roman" w:hAnsi="Times New Roman"/>
        </w:rPr>
      </w:pPr>
      <w:r>
        <w:rPr>
          <w:rFonts w:ascii="Times New Roman" w:hAnsi="Times New Roman"/>
        </w:rPr>
        <w:t>6.31. Responsabilizar-se pela separação, acondicionamento selecionado e entrega em local previamente determinado pela CONCEDENTE, dos resíduos inaproveitáveis gerados pelo estabelecimento.</w:t>
      </w:r>
    </w:p>
    <w:p>
      <w:pPr>
        <w:pStyle w:val="Normal"/>
        <w:jc w:val="both"/>
        <w:rPr>
          <w:rFonts w:ascii="Times New Roman" w:hAnsi="Times New Roman"/>
        </w:rPr>
      </w:pPr>
      <w:r>
        <w:rPr>
          <w:rFonts w:ascii="Times New Roman" w:hAnsi="Times New Roman"/>
        </w:rPr>
        <w:t>6.32. Quanto à destinação ambiental dos resíduos e lixo, é de responsabilidade da CONCESSIONÁRIA:</w:t>
      </w:r>
    </w:p>
    <w:p>
      <w:pPr>
        <w:pStyle w:val="Normal"/>
        <w:tabs>
          <w:tab w:val="clear" w:pos="708"/>
          <w:tab w:val="left" w:pos="567" w:leader="none"/>
        </w:tabs>
        <w:ind w:left="567" w:hanging="0"/>
        <w:jc w:val="both"/>
        <w:rPr>
          <w:rFonts w:ascii="Times New Roman" w:hAnsi="Times New Roman"/>
        </w:rPr>
      </w:pPr>
      <w:r>
        <w:rPr>
          <w:rFonts w:ascii="Times New Roman" w:hAnsi="Times New Roman"/>
        </w:rPr>
        <w:t xml:space="preserve">6.32.1. Responsabilizar-se pelo controle e destinação ambiental dos resíduos dos serviços reprográficos e de acordo com a legislação vigente; </w:t>
      </w:r>
    </w:p>
    <w:p>
      <w:pPr>
        <w:pStyle w:val="Normal"/>
        <w:tabs>
          <w:tab w:val="clear" w:pos="708"/>
          <w:tab w:val="left" w:pos="567" w:leader="none"/>
        </w:tabs>
        <w:ind w:left="567" w:hanging="0"/>
        <w:jc w:val="both"/>
        <w:rPr>
          <w:rFonts w:ascii="Times New Roman" w:hAnsi="Times New Roman"/>
        </w:rPr>
      </w:pPr>
      <w:r>
        <w:rPr>
          <w:rFonts w:ascii="Times New Roman" w:hAnsi="Times New Roman"/>
        </w:rPr>
        <w:t>6.32.2. Instruir os empregados acerca da forma de coleta do lixo, de acordo com os procedimentos estabelecidos pela CONCEDENTE;</w:t>
      </w:r>
    </w:p>
    <w:p>
      <w:pPr>
        <w:pStyle w:val="Normal"/>
        <w:tabs>
          <w:tab w:val="clear" w:pos="708"/>
          <w:tab w:val="left" w:pos="567" w:leader="none"/>
        </w:tabs>
        <w:ind w:left="567" w:hanging="0"/>
        <w:jc w:val="both"/>
        <w:rPr>
          <w:rFonts w:ascii="Times New Roman" w:hAnsi="Times New Roman"/>
        </w:rPr>
      </w:pPr>
      <w:r>
        <w:rPr>
          <w:rFonts w:ascii="Times New Roman" w:hAnsi="Times New Roman"/>
        </w:rPr>
        <w:t>6.32.3. Dar a destinação adequada aos resíduos oriundos da limpeza, sendo de sua inteira responsabilidade o seu transporte e destinação.</w:t>
      </w:r>
    </w:p>
    <w:p>
      <w:pPr>
        <w:pStyle w:val="Normal"/>
        <w:jc w:val="both"/>
        <w:rPr>
          <w:rFonts w:ascii="Times New Roman" w:hAnsi="Times New Roman"/>
        </w:rPr>
      </w:pPr>
      <w:r>
        <w:rPr>
          <w:rFonts w:ascii="Times New Roman" w:hAnsi="Times New Roman"/>
        </w:rPr>
        <w:t>6.33. Assumir as despesas decorrentes de serviços e materiais de limpeza da área ocupada.</w:t>
      </w:r>
    </w:p>
    <w:p>
      <w:pPr>
        <w:pStyle w:val="Normal"/>
        <w:jc w:val="both"/>
        <w:rPr>
          <w:rFonts w:ascii="Times New Roman" w:hAnsi="Times New Roman"/>
        </w:rPr>
      </w:pPr>
      <w:r>
        <w:rPr>
          <w:rFonts w:ascii="Times New Roman" w:hAnsi="Times New Roman"/>
        </w:rPr>
        <w:t xml:space="preserve">6.34. Fica proibido à CONCESSIONÁRIA: </w:t>
      </w:r>
    </w:p>
    <w:p>
      <w:pPr>
        <w:pStyle w:val="Normal"/>
        <w:tabs>
          <w:tab w:val="clear" w:pos="708"/>
          <w:tab w:val="left" w:pos="567" w:leader="none"/>
        </w:tabs>
        <w:ind w:left="567" w:hanging="0"/>
        <w:jc w:val="both"/>
        <w:rPr>
          <w:rFonts w:ascii="Times New Roman" w:hAnsi="Times New Roman"/>
        </w:rPr>
      </w:pPr>
      <w:r>
        <w:rPr>
          <w:rFonts w:ascii="Times New Roman" w:hAnsi="Times New Roman"/>
        </w:rPr>
        <w:t>6.34.1. Dar outro uso às dependências objeto desta concessão que não aquele definido pelo contrato.</w:t>
      </w:r>
    </w:p>
    <w:p>
      <w:pPr>
        <w:pStyle w:val="Normal"/>
        <w:tabs>
          <w:tab w:val="clear" w:pos="708"/>
          <w:tab w:val="left" w:pos="567" w:leader="none"/>
        </w:tabs>
        <w:ind w:left="567" w:hanging="0"/>
        <w:jc w:val="both"/>
        <w:rPr>
          <w:rFonts w:ascii="Times New Roman" w:hAnsi="Times New Roman"/>
        </w:rPr>
      </w:pPr>
      <w:r>
        <w:rPr>
          <w:rFonts w:ascii="Times New Roman" w:hAnsi="Times New Roman"/>
        </w:rPr>
        <w:t>6.34.2. Comercializar produtos e/ou serviços diferentes dos especificados no contrato;</w:t>
      </w:r>
    </w:p>
    <w:p>
      <w:pPr>
        <w:pStyle w:val="Western"/>
        <w:suppressAutoHyphens w:val="false"/>
        <w:spacing w:beforeAutospacing="1" w:after="119"/>
        <w:ind w:left="1276" w:hanging="0"/>
        <w:jc w:val="both"/>
        <w:rPr>
          <w:sz w:val="22"/>
          <w:szCs w:val="22"/>
        </w:rPr>
      </w:pPr>
      <w:r>
        <w:rPr>
          <w:sz w:val="22"/>
          <w:szCs w:val="22"/>
        </w:rPr>
        <w:t>6.34.2.1. É vedado, ainda, a comercialização, tanto bebidas alcoólicas quanto produtos fumígeros, bem como a veiculação de qualquer propaganda ou sugestão quanto ao seu consumo, nos termos do que dispõem as Leis n.º 9.294/96 e n.º 8.069/90 - Estatuto da Criança e do Adolescente.</w:t>
      </w:r>
    </w:p>
    <w:p>
      <w:pPr>
        <w:pStyle w:val="Normal"/>
        <w:tabs>
          <w:tab w:val="clear" w:pos="708"/>
          <w:tab w:val="left" w:pos="567" w:leader="none"/>
        </w:tabs>
        <w:ind w:left="567" w:hanging="0"/>
        <w:jc w:val="both"/>
        <w:rPr>
          <w:rFonts w:ascii="Times New Roman" w:hAnsi="Times New Roman"/>
        </w:rPr>
      </w:pPr>
      <w:r>
        <w:rPr>
          <w:rFonts w:ascii="Times New Roman" w:hAnsi="Times New Roman"/>
        </w:rPr>
        <w:t>6.34.3. Veicular publicidade em mesas, cadeiras, placas sem a prévia e expressa autorização da CONCEDENTE;</w:t>
      </w:r>
    </w:p>
    <w:p>
      <w:pPr>
        <w:pStyle w:val="Normal"/>
        <w:tabs>
          <w:tab w:val="clear" w:pos="708"/>
          <w:tab w:val="left" w:pos="567" w:leader="none"/>
        </w:tabs>
        <w:ind w:left="567" w:hanging="0"/>
        <w:jc w:val="both"/>
        <w:rPr>
          <w:rFonts w:ascii="Times New Roman" w:hAnsi="Times New Roman"/>
        </w:rPr>
      </w:pPr>
      <w:r>
        <w:rPr>
          <w:rFonts w:ascii="Times New Roman" w:hAnsi="Times New Roman"/>
        </w:rPr>
        <w:t>6.34.4. Alterar a cor das paredes das áreas ocupadas sem a expressa autorização da CONCEDENTE.</w:t>
      </w:r>
    </w:p>
    <w:p>
      <w:pPr>
        <w:pStyle w:val="Normal"/>
        <w:tabs>
          <w:tab w:val="clear" w:pos="708"/>
          <w:tab w:val="left" w:pos="567" w:leader="none"/>
        </w:tabs>
        <w:ind w:left="567" w:hanging="0"/>
        <w:jc w:val="both"/>
        <w:rPr>
          <w:rFonts w:ascii="Times New Roman" w:hAnsi="Times New Roman"/>
        </w:rPr>
      </w:pPr>
      <w:r>
        <w:rPr>
          <w:rFonts w:ascii="Times New Roman" w:hAnsi="Times New Roman"/>
        </w:rPr>
      </w:r>
    </w:p>
    <w:p>
      <w:pPr>
        <w:pStyle w:val="Normal"/>
        <w:tabs>
          <w:tab w:val="clear" w:pos="708"/>
          <w:tab w:val="left" w:pos="0" w:leader="none"/>
        </w:tabs>
        <w:jc w:val="both"/>
        <w:rPr>
          <w:rFonts w:ascii="Times New Roman" w:hAnsi="Times New Roman"/>
          <w:b/>
          <w:b/>
        </w:rPr>
      </w:pPr>
      <w:r>
        <w:rPr>
          <w:rFonts w:ascii="Times New Roman" w:hAnsi="Times New Roman"/>
          <w:b/>
        </w:rPr>
        <w:t>7. OBRIGAÇÕES DA CONCEDENTE</w:t>
      </w:r>
    </w:p>
    <w:p>
      <w:pPr>
        <w:pStyle w:val="Normal"/>
        <w:tabs>
          <w:tab w:val="clear" w:pos="708"/>
          <w:tab w:val="left" w:pos="0" w:leader="none"/>
        </w:tabs>
        <w:jc w:val="both"/>
        <w:rPr>
          <w:rFonts w:ascii="Times New Roman" w:hAnsi="Times New Roman"/>
        </w:rPr>
      </w:pPr>
      <w:r>
        <w:rPr>
          <w:rFonts w:ascii="Times New Roman" w:hAnsi="Times New Roman"/>
        </w:rPr>
        <w:t>7.1. Colocar à disposição da CONCESSIONÁRIA a área física objeto do Termo de Concessão de Uso, nos termos do respectivo Edital de Pregão e de seus anexos.</w:t>
      </w:r>
    </w:p>
    <w:p>
      <w:pPr>
        <w:pStyle w:val="Normal"/>
        <w:tabs>
          <w:tab w:val="clear" w:pos="708"/>
          <w:tab w:val="left" w:pos="0" w:leader="none"/>
        </w:tabs>
        <w:jc w:val="both"/>
        <w:rPr>
          <w:rFonts w:ascii="Times New Roman" w:hAnsi="Times New Roman"/>
        </w:rPr>
      </w:pPr>
      <w:r>
        <w:rPr>
          <w:rFonts w:ascii="Times New Roman" w:hAnsi="Times New Roman"/>
        </w:rPr>
        <w:t>7.2. Disponibilizar pontos de energia elétrica, não se responsabilizando, porém, por quaisquer consequências decorrentes de interrupções no fornecimento provocadas pelos fornecedores.</w:t>
      </w:r>
    </w:p>
    <w:p>
      <w:pPr>
        <w:pStyle w:val="Normal"/>
        <w:tabs>
          <w:tab w:val="clear" w:pos="708"/>
          <w:tab w:val="left" w:pos="0" w:leader="none"/>
        </w:tabs>
        <w:jc w:val="both"/>
        <w:rPr>
          <w:rFonts w:ascii="Times New Roman" w:hAnsi="Times New Roman"/>
        </w:rPr>
      </w:pPr>
      <w:r>
        <w:rPr>
          <w:rFonts w:ascii="Times New Roman" w:hAnsi="Times New Roman"/>
        </w:rPr>
        <w:t>7.3. Acompanhar e fiscalizar, por meio de servidor ou outro preposto por ela indicada, o desenvolvimento das atividades e o cumprimento das responsabilidades assumidas pela CONCESSIONÁRIA no Termo de Concessão de Uso.</w:t>
      </w:r>
    </w:p>
    <w:p>
      <w:pPr>
        <w:pStyle w:val="Normal"/>
        <w:tabs>
          <w:tab w:val="clear" w:pos="708"/>
          <w:tab w:val="left" w:pos="0" w:leader="none"/>
        </w:tabs>
        <w:jc w:val="both"/>
        <w:rPr>
          <w:rFonts w:ascii="Times New Roman" w:hAnsi="Times New Roman"/>
        </w:rPr>
      </w:pPr>
      <w:r>
        <w:rPr>
          <w:rFonts w:ascii="Times New Roman" w:hAnsi="Times New Roman"/>
        </w:rPr>
        <w:t>7.4. Exigir pontualidade no cumprimento dos horários fixados no contrato.</w:t>
      </w:r>
    </w:p>
    <w:p>
      <w:pPr>
        <w:pStyle w:val="Normal"/>
        <w:tabs>
          <w:tab w:val="clear" w:pos="708"/>
          <w:tab w:val="left" w:pos="0" w:leader="none"/>
        </w:tabs>
        <w:jc w:val="both"/>
        <w:rPr>
          <w:rFonts w:ascii="Times New Roman" w:hAnsi="Times New Roman"/>
        </w:rPr>
      </w:pPr>
      <w:r>
        <w:rPr>
          <w:rFonts w:ascii="Times New Roman" w:hAnsi="Times New Roman"/>
        </w:rPr>
        <w:t>7.5. Exigir da CONCESSIONÁRIA, sempre que entender necessário, a comprovação da regularidade de sua situação para com o recolhimento do INSS e do FGTS de seus empregados.</w:t>
      </w:r>
    </w:p>
    <w:p>
      <w:pPr>
        <w:pStyle w:val="Normal"/>
        <w:tabs>
          <w:tab w:val="clear" w:pos="708"/>
          <w:tab w:val="left" w:pos="0" w:leader="none"/>
        </w:tabs>
        <w:jc w:val="both"/>
        <w:rPr>
          <w:rFonts w:ascii="Times New Roman" w:hAnsi="Times New Roman"/>
        </w:rPr>
      </w:pPr>
      <w:r>
        <w:rPr>
          <w:rFonts w:ascii="Times New Roman" w:hAnsi="Times New Roman"/>
        </w:rPr>
        <w:t>7.6. Aprovar, emitir e fiscalizar a relação de produtos a serem comercializados, podendo introduzir as modificações que se evidenciarem convenientes, observando o padrão de qualidade.</w:t>
      </w:r>
    </w:p>
    <w:p>
      <w:pPr>
        <w:pStyle w:val="Normal"/>
        <w:tabs>
          <w:tab w:val="clear" w:pos="708"/>
          <w:tab w:val="left" w:pos="0" w:leader="none"/>
        </w:tabs>
        <w:jc w:val="both"/>
        <w:rPr>
          <w:rFonts w:ascii="Times New Roman" w:hAnsi="Times New Roman"/>
        </w:rPr>
      </w:pPr>
      <w:r>
        <w:rPr>
          <w:rFonts w:ascii="Times New Roman" w:hAnsi="Times New Roman"/>
        </w:rPr>
        <w:t>7.7. Realizar vistorias periódicas para exame das condições de conservação das instalações utilizadas e do estado de conservação e funcionamento dos equipamentos, mobiliário, aparelhos e instrumentos utilizados pela CONCESSIONÁRIA.</w:t>
      </w:r>
    </w:p>
    <w:p>
      <w:pPr>
        <w:pStyle w:val="Normal"/>
        <w:tabs>
          <w:tab w:val="clear" w:pos="708"/>
          <w:tab w:val="left" w:pos="0" w:leader="none"/>
        </w:tabs>
        <w:jc w:val="both"/>
        <w:rPr>
          <w:rFonts w:ascii="Times New Roman" w:hAnsi="Times New Roman"/>
        </w:rPr>
      </w:pPr>
      <w:r>
        <w:rPr>
          <w:rFonts w:ascii="Times New Roman" w:hAnsi="Times New Roman"/>
        </w:rPr>
        <w:t xml:space="preserve">7.8. Aplicar as sanções registradas pela fiscalização do contrato a quaisquer fatos praticados pela CONCESSIONÁRIA contrários ao disposto no edital e contrato, inclusive sugerindo penalidades. </w:t>
      </w:r>
    </w:p>
    <w:p>
      <w:pPr>
        <w:pStyle w:val="Normal"/>
        <w:tabs>
          <w:tab w:val="clear" w:pos="708"/>
          <w:tab w:val="left" w:pos="0" w:leader="none"/>
        </w:tabs>
        <w:jc w:val="both"/>
        <w:rPr>
          <w:rFonts w:ascii="Times New Roman" w:hAnsi="Times New Roman"/>
        </w:rPr>
      </w:pPr>
      <w:r>
        <w:rPr>
          <w:rFonts w:ascii="Times New Roman" w:hAnsi="Times New Roman"/>
        </w:rPr>
        <w:t>7.9. Apresentar à CONCESSIONÁRIA fatura relativa ao valor da contraprestação, incluindo os valores relativos ao consumo de energia elétrica no mês correspondente.</w:t>
      </w:r>
    </w:p>
    <w:p>
      <w:pPr>
        <w:pStyle w:val="Normal"/>
        <w:tabs>
          <w:tab w:val="clear" w:pos="708"/>
          <w:tab w:val="left" w:pos="0" w:leader="none"/>
        </w:tabs>
        <w:jc w:val="both"/>
        <w:rPr>
          <w:rFonts w:ascii="Times New Roman" w:hAnsi="Times New Roman"/>
          <w:b/>
          <w:b/>
        </w:rPr>
      </w:pPr>
      <w:r>
        <w:rPr>
          <w:rFonts w:ascii="Times New Roman" w:hAnsi="Times New Roman"/>
          <w:b/>
        </w:rPr>
        <w:t>8. CONTROLE DA EXECUÇÃO E FISCALIZAÇÃO</w:t>
      </w:r>
    </w:p>
    <w:p>
      <w:pPr>
        <w:pStyle w:val="Normal"/>
        <w:tabs>
          <w:tab w:val="clear" w:pos="708"/>
          <w:tab w:val="left" w:pos="0" w:leader="none"/>
        </w:tabs>
        <w:jc w:val="both"/>
        <w:rPr>
          <w:rFonts w:ascii="Times New Roman" w:hAnsi="Times New Roman"/>
        </w:rPr>
      </w:pPr>
      <w:r>
        <w:rPr>
          <w:rFonts w:ascii="Times New Roman" w:hAnsi="Times New Roman"/>
        </w:rPr>
        <w:t xml:space="preserve">8.1. A gestão do contrato ficará a cargo do(a) Diretor(a) em exercício do </w:t>
      </w:r>
      <w:r>
        <w:rPr>
          <w:rFonts w:eastAsia="Times New Roman" w:ascii="Times New Roman" w:hAnsi="Times New Roman"/>
          <w:lang w:eastAsia="pt-BR"/>
        </w:rPr>
        <w:t xml:space="preserve">Centro </w:t>
      </w:r>
      <w:r>
        <w:rPr>
          <w:rFonts w:eastAsia="Calibri" w:cs="Verdana" w:ascii="Times New Roman" w:hAnsi="Times New Roman"/>
          <w:b w:val="false"/>
          <w:bCs w:val="false"/>
          <w:color w:val="000000"/>
          <w:kern w:val="0"/>
          <w:sz w:val="23"/>
          <w:szCs w:val="23"/>
          <w:highlight w:val="yellow"/>
          <w:lang w:val="pt-BR" w:eastAsia="pt-BR" w:bidi="ar-SA"/>
        </w:rPr>
        <w:t>XX</w:t>
      </w:r>
      <w:r>
        <w:rPr>
          <w:rFonts w:ascii="Times New Roman" w:hAnsi="Times New Roman"/>
        </w:rPr>
        <w:t xml:space="preserve"> da UFSC.</w:t>
      </w:r>
    </w:p>
    <w:p>
      <w:pPr>
        <w:pStyle w:val="Normal"/>
        <w:tabs>
          <w:tab w:val="clear" w:pos="708"/>
          <w:tab w:val="left" w:pos="426" w:leader="none"/>
        </w:tabs>
        <w:ind w:left="426" w:hanging="0"/>
        <w:jc w:val="both"/>
        <w:rPr>
          <w:rFonts w:ascii="Times New Roman" w:hAnsi="Times New Roman"/>
        </w:rPr>
      </w:pPr>
      <w:r>
        <w:rPr>
          <w:rFonts w:ascii="Times New Roman" w:hAnsi="Times New Roman"/>
        </w:rPr>
        <w:t>8.1.1. É responsabilidade do gestor do contrato tomar decisões em prol da boa execução dos serviços por parte da CONCESSIONÁRIA.</w:t>
      </w:r>
    </w:p>
    <w:p>
      <w:pPr>
        <w:pStyle w:val="Normal"/>
        <w:tabs>
          <w:tab w:val="clear" w:pos="708"/>
          <w:tab w:val="left" w:pos="0" w:leader="none"/>
        </w:tabs>
        <w:jc w:val="both"/>
        <w:rPr>
          <w:rFonts w:ascii="Times New Roman" w:hAnsi="Times New Roman"/>
        </w:rPr>
      </w:pPr>
      <w:r>
        <w:rPr>
          <w:rFonts w:ascii="Times New Roman" w:hAnsi="Times New Roman"/>
        </w:rPr>
        <w:t>8.2. A fiscalização do contrato será exercida por servidor devidamente indicado pelo gestor do contrato e devidamente nomeado por portaria, ao qual competirá dirimir as dúvidas que surgirem no curso da prestação dos serviços e de tudo dar ciência à Administração, conforme art. 67 da Lei n.º 8.666/93.</w:t>
      </w:r>
    </w:p>
    <w:p>
      <w:pPr>
        <w:pStyle w:val="Normal"/>
        <w:tabs>
          <w:tab w:val="clear" w:pos="708"/>
          <w:tab w:val="left" w:pos="426" w:leader="none"/>
        </w:tabs>
        <w:ind w:left="426" w:hanging="0"/>
        <w:jc w:val="both"/>
        <w:rPr>
          <w:rFonts w:ascii="Times New Roman" w:hAnsi="Times New Roman"/>
        </w:rPr>
      </w:pPr>
      <w:r>
        <w:rPr>
          <w:rFonts w:ascii="Times New Roman" w:hAnsi="Times New Roman"/>
        </w:rPr>
        <w:t>8.2.1. Cabe ao fiscal acompanhar a execução do contrato, registrando em relatório todas as ocorrências relacionadas com a sua execução, determinando o que for necessário à regularização das falhas ou defeitos observados.</w:t>
      </w:r>
    </w:p>
    <w:p>
      <w:pPr>
        <w:pStyle w:val="Normal"/>
        <w:tabs>
          <w:tab w:val="clear" w:pos="708"/>
          <w:tab w:val="left" w:pos="426" w:leader="none"/>
        </w:tabs>
        <w:ind w:left="426" w:hanging="0"/>
        <w:jc w:val="both"/>
        <w:rPr>
          <w:rFonts w:ascii="Times New Roman" w:hAnsi="Times New Roman"/>
        </w:rPr>
      </w:pPr>
      <w:r>
        <w:rPr>
          <w:rFonts w:ascii="Times New Roman" w:hAnsi="Times New Roman"/>
        </w:rPr>
        <w:t>8.2.2. Cabe ao fiscal relatar ao gestor do contrato eventuais irregularidades cometidas pela CONCESSIONÁRIA no cumprimento de seu contrato.</w:t>
      </w:r>
    </w:p>
    <w:p>
      <w:pPr>
        <w:pStyle w:val="Normal"/>
        <w:tabs>
          <w:tab w:val="clear" w:pos="708"/>
          <w:tab w:val="left" w:pos="426" w:leader="none"/>
        </w:tabs>
        <w:ind w:left="426" w:hanging="0"/>
        <w:jc w:val="both"/>
        <w:rPr>
          <w:rFonts w:ascii="Times New Roman" w:hAnsi="Times New Roman"/>
        </w:rPr>
      </w:pPr>
      <w:r>
        <w:rPr>
          <w:rFonts w:ascii="Times New Roman" w:hAnsi="Times New Roman"/>
        </w:rPr>
        <w:t>8.2.3. As notificações das irregularidades constatadas na execução do contrato serão encaminhadas por escrito à CONCESSIONÁRIA, estipulando prazo para as devidas correções.</w:t>
      </w:r>
    </w:p>
    <w:p>
      <w:pPr>
        <w:pStyle w:val="Normal"/>
        <w:tabs>
          <w:tab w:val="clear" w:pos="708"/>
          <w:tab w:val="left" w:pos="426" w:leader="none"/>
        </w:tabs>
        <w:ind w:left="426" w:hanging="0"/>
        <w:jc w:val="both"/>
        <w:rPr>
          <w:rFonts w:ascii="Times New Roman" w:hAnsi="Times New Roman"/>
        </w:rPr>
      </w:pPr>
      <w:r>
        <w:rPr>
          <w:rFonts w:ascii="Times New Roman" w:hAnsi="Times New Roman"/>
        </w:rPr>
        <w:t>8.2.4. Os esclarecimentos solicitados pelo fiscal do contrato deverão ser prestados imediatamente, salvo quando implicarem em indagações de caráter técnico, hipótese em que serão respondidas no prazo máximo de 24 horas.</w:t>
      </w:r>
    </w:p>
    <w:p>
      <w:pPr>
        <w:pStyle w:val="Normal"/>
        <w:tabs>
          <w:tab w:val="clear" w:pos="708"/>
          <w:tab w:val="left" w:pos="426" w:leader="none"/>
        </w:tabs>
        <w:ind w:left="426" w:hanging="0"/>
        <w:jc w:val="both"/>
        <w:rPr>
          <w:rFonts w:ascii="Times New Roman" w:hAnsi="Times New Roman"/>
        </w:rPr>
      </w:pPr>
      <w:r>
        <w:rPr>
          <w:rFonts w:ascii="Times New Roman" w:hAnsi="Times New Roman"/>
        </w:rPr>
        <w:t>8.2.5. Vencido o prazo dado pela fiscalização para a correção de eventuais falhas e não sanadas as ilicitudes identificadas, a CONCEDENTE aplicará as devidas penalidades.</w:t>
      </w:r>
    </w:p>
    <w:p>
      <w:pPr>
        <w:pStyle w:val="Normal"/>
        <w:tabs>
          <w:tab w:val="clear" w:pos="708"/>
          <w:tab w:val="left" w:pos="0" w:leader="none"/>
        </w:tabs>
        <w:jc w:val="both"/>
        <w:rPr>
          <w:rFonts w:ascii="Times New Roman" w:hAnsi="Times New Roman"/>
        </w:rPr>
      </w:pPr>
      <w:r>
        <w:rPr>
          <w:rFonts w:ascii="Times New Roman" w:hAnsi="Times New Roman"/>
        </w:rPr>
        <w:t>8.3. A fiscalização não exclui nem reduz a responsabilidade da CONCESSIONÁRIA, inclusive perante terceiros, por qualquer irregularidade, ainda que resultante de imperfeições técnicas, vícios redibitórios ou emprego de material inadequado ou de qualidade inferior e, na ocorrência desta, não implica em corresponsabilidade da CONCEDENTE ou de seus agentes e prepostos, de conformidade com o art. 70 da Lei n.º 8.666/93.</w:t>
      </w:r>
    </w:p>
    <w:p>
      <w:pPr>
        <w:pStyle w:val="Normal"/>
        <w:tabs>
          <w:tab w:val="clear" w:pos="708"/>
          <w:tab w:val="left" w:pos="0" w:leader="none"/>
        </w:tabs>
        <w:jc w:val="both"/>
        <w:rPr>
          <w:rFonts w:ascii="Times New Roman" w:hAnsi="Times New Roman"/>
        </w:rPr>
      </w:pPr>
      <w:r>
        <w:rPr>
          <w:rFonts w:ascii="Times New Roman" w:hAnsi="Times New Roman"/>
        </w:rPr>
        <w:t>8.4. A CONCESSIONÁRIA deverá permitir aos representantes da CONCEDENTE livre acesso, em qualquer época, sem qualquer aviso prévio, para fiscalização das instalações do objeto desta concessão, em cumprimento ao que dispõem as determinações legais.</w:t>
      </w:r>
    </w:p>
    <w:p>
      <w:pPr>
        <w:pStyle w:val="Normal"/>
        <w:tabs>
          <w:tab w:val="clear" w:pos="708"/>
          <w:tab w:val="left" w:pos="0" w:leader="none"/>
        </w:tabs>
        <w:jc w:val="both"/>
        <w:rPr>
          <w:rFonts w:ascii="Times New Roman" w:hAnsi="Times New Roman"/>
        </w:rPr>
      </w:pPr>
      <w:r>
        <w:rPr>
          <w:rFonts w:ascii="Times New Roman" w:hAnsi="Times New Roman"/>
        </w:rPr>
        <w:t>8.5. A ação ou omissão, total ou parcial, da fiscalização da CONCEDENTE sobre a CONCESSIONÁRIA não eximirá esta de total responsabilidade quanto à execução dos referidos serviços.</w:t>
      </w:r>
    </w:p>
    <w:p>
      <w:pPr>
        <w:pStyle w:val="Normal"/>
        <w:tabs>
          <w:tab w:val="clear" w:pos="708"/>
          <w:tab w:val="left" w:pos="0" w:leader="none"/>
        </w:tabs>
        <w:jc w:val="both"/>
        <w:rPr>
          <w:rFonts w:ascii="Times New Roman" w:hAnsi="Times New Roman"/>
          <w:b/>
          <w:b/>
        </w:rPr>
      </w:pPr>
      <w:r>
        <w:rPr>
          <w:rFonts w:ascii="Times New Roman" w:hAnsi="Times New Roman"/>
          <w:b/>
        </w:rPr>
        <w:t>9. DETALHAMENTO DOS SERVIÇOS</w:t>
      </w:r>
    </w:p>
    <w:p>
      <w:pPr>
        <w:pStyle w:val="Normal"/>
        <w:tabs>
          <w:tab w:val="clear" w:pos="708"/>
          <w:tab w:val="left" w:pos="0" w:leader="none"/>
        </w:tabs>
        <w:jc w:val="both"/>
        <w:rPr>
          <w:rFonts w:ascii="Times New Roman" w:hAnsi="Times New Roman"/>
        </w:rPr>
      </w:pPr>
      <w:r>
        <w:rPr>
          <w:rFonts w:ascii="Times New Roman" w:hAnsi="Times New Roman"/>
        </w:rPr>
        <w:t>9.1. A CONCESSIONÁRIA deverá prestar, no mínimo, os seguintes serviços de reprografia:</w:t>
      </w:r>
    </w:p>
    <w:p>
      <w:pPr>
        <w:pStyle w:val="Normal"/>
        <w:ind w:left="426" w:hanging="0"/>
        <w:jc w:val="both"/>
        <w:rPr>
          <w:rFonts w:ascii="Times New Roman" w:hAnsi="Times New Roman"/>
        </w:rPr>
      </w:pPr>
      <w:r>
        <w:rPr>
          <w:rFonts w:ascii="Times New Roman" w:hAnsi="Times New Roman"/>
        </w:rPr>
        <w:t>9.1.1. Cópias simples A4 e A3, preto/branco e coloridas;</w:t>
      </w:r>
    </w:p>
    <w:p>
      <w:pPr>
        <w:pStyle w:val="Normal"/>
        <w:ind w:left="426" w:hanging="0"/>
        <w:jc w:val="both"/>
        <w:rPr>
          <w:rFonts w:ascii="Times New Roman" w:hAnsi="Times New Roman"/>
        </w:rPr>
      </w:pPr>
      <w:r>
        <w:rPr>
          <w:rFonts w:ascii="Times New Roman" w:hAnsi="Times New Roman"/>
        </w:rPr>
        <w:t>9.1.2. Cópias frente e verso A4 e A3, preto/branco e coloridas;</w:t>
      </w:r>
    </w:p>
    <w:p>
      <w:pPr>
        <w:pStyle w:val="Normal"/>
        <w:ind w:left="426" w:hanging="0"/>
        <w:jc w:val="both"/>
        <w:rPr>
          <w:rFonts w:ascii="Times New Roman" w:hAnsi="Times New Roman"/>
        </w:rPr>
      </w:pPr>
      <w:r>
        <w:rPr>
          <w:rFonts w:ascii="Times New Roman" w:hAnsi="Times New Roman"/>
        </w:rPr>
        <w:t>9.1.3. Impressões simples A4 e A3, preto/branco e coloridas;</w:t>
      </w:r>
    </w:p>
    <w:p>
      <w:pPr>
        <w:pStyle w:val="Normal"/>
        <w:ind w:left="426" w:hanging="0"/>
        <w:jc w:val="both"/>
        <w:rPr>
          <w:rFonts w:ascii="Times New Roman" w:hAnsi="Times New Roman"/>
        </w:rPr>
      </w:pPr>
      <w:r>
        <w:rPr>
          <w:rFonts w:ascii="Times New Roman" w:hAnsi="Times New Roman"/>
        </w:rPr>
        <w:t>9.1.4. Impressões frente e verso A4 e A3, preto/branco e coloridas;</w:t>
      </w:r>
    </w:p>
    <w:p>
      <w:pPr>
        <w:pStyle w:val="Normal"/>
        <w:ind w:left="426" w:hanging="0"/>
        <w:jc w:val="both"/>
        <w:rPr>
          <w:rFonts w:ascii="Times New Roman" w:hAnsi="Times New Roman"/>
        </w:rPr>
      </w:pPr>
      <w:r>
        <w:rPr>
          <w:rFonts w:ascii="Times New Roman" w:hAnsi="Times New Roman"/>
        </w:rPr>
        <w:t>9.1.5. Encadernação em espiral e em capa dura;</w:t>
      </w:r>
    </w:p>
    <w:p>
      <w:pPr>
        <w:pStyle w:val="Normal"/>
        <w:tabs>
          <w:tab w:val="clear" w:pos="708"/>
          <w:tab w:val="left" w:pos="0" w:leader="none"/>
        </w:tabs>
        <w:jc w:val="both"/>
        <w:rPr>
          <w:rFonts w:ascii="Times New Roman" w:hAnsi="Times New Roman"/>
        </w:rPr>
      </w:pPr>
      <w:r>
        <w:rPr>
          <w:rFonts w:ascii="Times New Roman" w:hAnsi="Times New Roman"/>
        </w:rPr>
        <w:t>9.2. A CONCESSIONÁRIA deverá fixar em local bem visível sua tabela de preços, previamente aprovada pela CONCEDENTE, obedecendo-a integralmente.</w:t>
      </w:r>
    </w:p>
    <w:p>
      <w:pPr>
        <w:pStyle w:val="Normal"/>
        <w:tabs>
          <w:tab w:val="clear" w:pos="708"/>
          <w:tab w:val="left" w:pos="0" w:leader="none"/>
        </w:tabs>
        <w:jc w:val="both"/>
        <w:rPr>
          <w:rFonts w:ascii="Times New Roman" w:hAnsi="Times New Roman"/>
        </w:rPr>
      </w:pPr>
      <w:r>
        <w:rPr>
          <w:rFonts w:ascii="Times New Roman" w:hAnsi="Times New Roman"/>
        </w:rPr>
        <w:t xml:space="preserve">9.3. A CONCESSIONÁRIA deverá observar a qualidade dos produtos e os preços indicados na tabela mencionada acima, submetendo previamente à aprovação da CONCEDENTE quaisquer modificações ou alterações dos produtos. </w:t>
      </w:r>
    </w:p>
    <w:p>
      <w:pPr>
        <w:pStyle w:val="Normal"/>
        <w:tabs>
          <w:tab w:val="clear" w:pos="708"/>
          <w:tab w:val="left" w:pos="0" w:leader="none"/>
        </w:tabs>
        <w:jc w:val="both"/>
        <w:rPr>
          <w:rFonts w:ascii="Times New Roman" w:hAnsi="Times New Roman"/>
        </w:rPr>
      </w:pPr>
      <w:r>
        <w:rPr>
          <w:rFonts w:ascii="Times New Roman" w:hAnsi="Times New Roman"/>
        </w:rPr>
        <w:t>9.4. Nos primeiros 12 (doze) meses, o valor máximo permitido a ser cobrado pelas cópias convencionais será de R$ 0,13 (treze centavos).</w:t>
      </w:r>
    </w:p>
    <w:p>
      <w:pPr>
        <w:pStyle w:val="Normal"/>
        <w:tabs>
          <w:tab w:val="clear" w:pos="708"/>
          <w:tab w:val="left" w:pos="426" w:leader="none"/>
        </w:tabs>
        <w:ind w:left="426" w:hanging="0"/>
        <w:jc w:val="both"/>
        <w:rPr>
          <w:rFonts w:ascii="Times New Roman" w:hAnsi="Times New Roman"/>
        </w:rPr>
      </w:pPr>
      <w:r>
        <w:rPr>
          <w:rFonts w:ascii="Times New Roman" w:hAnsi="Times New Roman"/>
        </w:rPr>
        <w:t>9.4.1. Será permitido reajuste do valor da cópia anualmente de acordo com IPC-A, mediante solicitação, e desde que observado o interregno mínimo de 1 (um) ano contado da data de assinatura do contrato ou da última concessão do reajuste;</w:t>
      </w:r>
    </w:p>
    <w:p>
      <w:pPr>
        <w:pStyle w:val="Normal"/>
        <w:tabs>
          <w:tab w:val="clear" w:pos="708"/>
          <w:tab w:val="left" w:pos="426" w:leader="none"/>
        </w:tabs>
        <w:ind w:left="426" w:hanging="0"/>
        <w:jc w:val="both"/>
        <w:rPr>
          <w:rFonts w:ascii="Times New Roman" w:hAnsi="Times New Roman"/>
        </w:rPr>
      </w:pPr>
      <w:r>
        <w:rPr>
          <w:rFonts w:ascii="Times New Roman" w:hAnsi="Times New Roman"/>
        </w:rPr>
        <w:t>9.4.2. Entende-se por cópia convencional a cópia em papel A4, preto/branco, sem ampliação ou redução, não importando o formato do documento original.</w:t>
      </w:r>
    </w:p>
    <w:p>
      <w:pPr>
        <w:pStyle w:val="Normal"/>
        <w:tabs>
          <w:tab w:val="clear" w:pos="708"/>
          <w:tab w:val="left" w:pos="0" w:leader="none"/>
        </w:tabs>
        <w:jc w:val="both"/>
        <w:rPr>
          <w:rFonts w:ascii="Times New Roman" w:hAnsi="Times New Roman"/>
        </w:rPr>
      </w:pPr>
      <w:r>
        <w:rPr>
          <w:rFonts w:ascii="Times New Roman" w:hAnsi="Times New Roman"/>
        </w:rPr>
        <w:t>9.5. A CONCEDENTE não fornecerá quaisquer equipamentos, sendo esses de responsabilidade da CONCESSIONÁRIA.</w:t>
      </w:r>
    </w:p>
    <w:p>
      <w:pPr>
        <w:pStyle w:val="Normal"/>
        <w:tabs>
          <w:tab w:val="clear" w:pos="708"/>
          <w:tab w:val="left" w:pos="0" w:leader="none"/>
        </w:tabs>
        <w:jc w:val="both"/>
        <w:rPr>
          <w:rFonts w:ascii="Times New Roman" w:hAnsi="Times New Roman"/>
        </w:rPr>
      </w:pPr>
      <w:r>
        <w:rPr>
          <w:rFonts w:ascii="Times New Roman" w:hAnsi="Times New Roman"/>
        </w:rPr>
        <w:t>9.6. A CONCESSIONÁRIA deverá providenciar o ferramental, maquinário, transporte, serviços complementares, aparelhamento e recursos adequados e necessários ao perfeito andamento e boa execução dos serviços ligados ao objeto deste Pregão, não cabendo a CONCEDENTE qualquer responsabilidade na condução, apoio ou serviços indiretos motivados pelo objeto desta licitação.</w:t>
      </w:r>
    </w:p>
    <w:p>
      <w:pPr>
        <w:pStyle w:val="Normal"/>
        <w:tabs>
          <w:tab w:val="clear" w:pos="708"/>
          <w:tab w:val="left" w:pos="0" w:leader="none"/>
        </w:tabs>
        <w:jc w:val="both"/>
        <w:rPr>
          <w:rFonts w:ascii="Times New Roman" w:hAnsi="Times New Roman"/>
        </w:rPr>
      </w:pPr>
      <w:r>
        <w:rPr>
          <w:rFonts w:ascii="Times New Roman" w:hAnsi="Times New Roman"/>
        </w:rPr>
        <w:t>9.7. Para a prestação dos serviços de reprografia, a CONCESSIONÁRIA deverá fornecer equipamentos que possuam, no mínimo, as seguintes características:</w:t>
      </w:r>
    </w:p>
    <w:p>
      <w:pPr>
        <w:pStyle w:val="Normal"/>
        <w:tabs>
          <w:tab w:val="clear" w:pos="708"/>
          <w:tab w:val="left" w:pos="426" w:leader="none"/>
        </w:tabs>
        <w:ind w:left="426" w:hanging="0"/>
        <w:jc w:val="both"/>
        <w:rPr>
          <w:rFonts w:ascii="Times New Roman" w:hAnsi="Times New Roman"/>
        </w:rPr>
      </w:pPr>
      <w:r>
        <w:rPr>
          <w:rFonts w:ascii="Times New Roman" w:hAnsi="Times New Roman"/>
        </w:rPr>
        <w:t>9.7.1. Possuir velocidade mínima de 50 cópias por minuto;</w:t>
      </w:r>
    </w:p>
    <w:p>
      <w:pPr>
        <w:pStyle w:val="Normal"/>
        <w:tabs>
          <w:tab w:val="clear" w:pos="708"/>
          <w:tab w:val="left" w:pos="426" w:leader="none"/>
        </w:tabs>
        <w:ind w:left="426" w:hanging="0"/>
        <w:jc w:val="both"/>
        <w:rPr>
          <w:rFonts w:ascii="Times New Roman" w:hAnsi="Times New Roman"/>
        </w:rPr>
      </w:pPr>
      <w:r>
        <w:rPr>
          <w:rFonts w:ascii="Times New Roman" w:hAnsi="Times New Roman"/>
        </w:rPr>
        <w:t>9.7.2. Copiar em frente e verso de maneira automática;</w:t>
      </w:r>
    </w:p>
    <w:p>
      <w:pPr>
        <w:pStyle w:val="Normal"/>
        <w:tabs>
          <w:tab w:val="clear" w:pos="708"/>
          <w:tab w:val="left" w:pos="426" w:leader="none"/>
        </w:tabs>
        <w:ind w:left="426" w:hanging="0"/>
        <w:jc w:val="both"/>
        <w:rPr>
          <w:rFonts w:ascii="Times New Roman" w:hAnsi="Times New Roman"/>
        </w:rPr>
      </w:pPr>
      <w:r>
        <w:rPr>
          <w:rFonts w:ascii="Times New Roman" w:hAnsi="Times New Roman"/>
        </w:rPr>
        <w:t>9.7.3. Possuir recirculador de originais e alimentador lateral de originais ou assemelhados;</w:t>
      </w:r>
    </w:p>
    <w:p>
      <w:pPr>
        <w:pStyle w:val="Normal"/>
        <w:tabs>
          <w:tab w:val="clear" w:pos="708"/>
          <w:tab w:val="left" w:pos="426" w:leader="none"/>
        </w:tabs>
        <w:ind w:left="426" w:hanging="0"/>
        <w:jc w:val="both"/>
        <w:rPr>
          <w:rFonts w:ascii="Times New Roman" w:hAnsi="Times New Roman"/>
        </w:rPr>
      </w:pPr>
      <w:r>
        <w:rPr>
          <w:rFonts w:ascii="Times New Roman" w:hAnsi="Times New Roman"/>
        </w:rPr>
        <w:t>9.7.4. Aceitar originais e reproduzir cópias nos tamanhos Carta até duplo Carta ou A3;</w:t>
      </w:r>
    </w:p>
    <w:p>
      <w:pPr>
        <w:pStyle w:val="Normal"/>
        <w:tabs>
          <w:tab w:val="clear" w:pos="708"/>
          <w:tab w:val="left" w:pos="426" w:leader="none"/>
        </w:tabs>
        <w:ind w:left="426" w:hanging="0"/>
        <w:jc w:val="both"/>
        <w:rPr>
          <w:rFonts w:ascii="Times New Roman" w:hAnsi="Times New Roman"/>
        </w:rPr>
      </w:pPr>
      <w:r>
        <w:rPr>
          <w:rFonts w:ascii="Times New Roman" w:hAnsi="Times New Roman"/>
        </w:rPr>
        <w:t>9.7.5. Ampliar e reduzir ponto a ponto.</w:t>
      </w:r>
    </w:p>
    <w:p>
      <w:pPr>
        <w:pStyle w:val="Normal"/>
        <w:tabs>
          <w:tab w:val="clear" w:pos="708"/>
          <w:tab w:val="left" w:pos="0" w:leader="none"/>
        </w:tabs>
        <w:jc w:val="both"/>
        <w:rPr>
          <w:rFonts w:ascii="Times New Roman" w:hAnsi="Times New Roman"/>
        </w:rPr>
      </w:pPr>
      <w:r>
        <w:rPr>
          <w:rFonts w:ascii="Times New Roman" w:hAnsi="Times New Roman"/>
        </w:rPr>
        <w:t>9.8. Para a prestação dos serviços objeto desta licitação é necessário que CONCESSIONÁRIA possua pelo menos duas máquinas com as características acima, atendendo a demanda pelos serviços reprográficos de forma simultânea e ininterrupta.</w:t>
      </w:r>
    </w:p>
    <w:p>
      <w:pPr>
        <w:pStyle w:val="Normal"/>
        <w:tabs>
          <w:tab w:val="clear" w:pos="708"/>
          <w:tab w:val="left" w:pos="426" w:leader="none"/>
        </w:tabs>
        <w:ind w:left="426" w:hanging="0"/>
        <w:jc w:val="both"/>
        <w:rPr>
          <w:rFonts w:ascii="Times New Roman" w:hAnsi="Times New Roman"/>
        </w:rPr>
      </w:pPr>
      <w:r>
        <w:rPr>
          <w:rFonts w:ascii="Times New Roman" w:hAnsi="Times New Roman"/>
        </w:rPr>
        <w:t>9.8.1. No computador deverá estar instalado software leitor de tela, como por exemplo o NVDA, conforme orientação da Coordenadoria de Acessibilidade Educacional da UFSC, e embasado na Lei nº 13146/2015 (Estatuto da Pessoa com Deficiência).</w:t>
      </w:r>
    </w:p>
    <w:p>
      <w:pPr>
        <w:pStyle w:val="Normal"/>
        <w:tabs>
          <w:tab w:val="clear" w:pos="708"/>
          <w:tab w:val="left" w:pos="0" w:leader="none"/>
        </w:tabs>
        <w:jc w:val="both"/>
        <w:rPr>
          <w:rFonts w:ascii="Times New Roman" w:hAnsi="Times New Roman"/>
        </w:rPr>
      </w:pPr>
      <w:r>
        <w:rPr>
          <w:rFonts w:ascii="Times New Roman" w:hAnsi="Times New Roman"/>
        </w:rPr>
        <w:t>9.9. A CONCESSIONÁRIA deverá adquirir instalar e manter às suas expensas, os equipamentos, móveis e utensílios necessários para o perfeito funcionamento desta concessão, devendo retirá-los do local quando do término ou rescisão do Termo de Concessão de Uso;</w:t>
      </w:r>
    </w:p>
    <w:p>
      <w:pPr>
        <w:pStyle w:val="Normal"/>
        <w:tabs>
          <w:tab w:val="clear" w:pos="708"/>
          <w:tab w:val="left" w:pos="0" w:leader="none"/>
        </w:tabs>
        <w:jc w:val="both"/>
        <w:rPr>
          <w:rFonts w:ascii="Times New Roman" w:hAnsi="Times New Roman"/>
        </w:rPr>
      </w:pPr>
      <w:r>
        <w:rPr>
          <w:rFonts w:ascii="Times New Roman" w:hAnsi="Times New Roman"/>
        </w:rPr>
        <w:t>9.10. A CONCESSIONÁRIA deverá fazer a manutenção preventiva e corretiva dos seus equipamentos, não sendo aceitas paralisações dos serviços em função de problemas técnicos.</w:t>
      </w:r>
    </w:p>
    <w:p>
      <w:pPr>
        <w:pStyle w:val="Normal"/>
        <w:tabs>
          <w:tab w:val="clear" w:pos="708"/>
          <w:tab w:val="left" w:pos="0" w:leader="none"/>
        </w:tabs>
        <w:jc w:val="both"/>
        <w:rPr>
          <w:rFonts w:ascii="Times New Roman" w:hAnsi="Times New Roman"/>
          <w:b/>
          <w:b/>
        </w:rPr>
      </w:pPr>
      <w:r>
        <w:rPr>
          <w:rFonts w:ascii="Times New Roman" w:hAnsi="Times New Roman"/>
          <w:b/>
        </w:rPr>
        <w:t>10.</w:t>
      </w:r>
      <w:r>
        <w:rPr>
          <w:b/>
        </w:rPr>
        <w:t xml:space="preserve"> </w:t>
      </w:r>
      <w:r>
        <w:rPr>
          <w:rFonts w:ascii="Times New Roman" w:hAnsi="Times New Roman"/>
          <w:b/>
        </w:rPr>
        <w:t>PESQUISA DE SATISFAÇÃO</w:t>
      </w:r>
    </w:p>
    <w:p>
      <w:pPr>
        <w:pStyle w:val="Normal"/>
        <w:tabs>
          <w:tab w:val="clear" w:pos="708"/>
          <w:tab w:val="left" w:pos="0" w:leader="none"/>
        </w:tabs>
        <w:jc w:val="both"/>
        <w:rPr>
          <w:rFonts w:ascii="Times New Roman" w:hAnsi="Times New Roman"/>
        </w:rPr>
      </w:pPr>
      <w:r>
        <w:rPr>
          <w:rFonts w:ascii="Times New Roman" w:hAnsi="Times New Roman"/>
        </w:rPr>
        <w:t>10.1 Poderá ser efetuada, semestralmente, pela CONCEDENTE, pesquisa de opinião junto à clientela da reprografia para avaliar o grau de satisfação quanto aos aspectos previstos no item 10.3.</w:t>
      </w:r>
    </w:p>
    <w:p>
      <w:pPr>
        <w:pStyle w:val="Normal"/>
        <w:tabs>
          <w:tab w:val="clear" w:pos="708"/>
          <w:tab w:val="left" w:pos="0" w:leader="none"/>
        </w:tabs>
        <w:jc w:val="both"/>
        <w:rPr>
          <w:rFonts w:ascii="Times New Roman" w:hAnsi="Times New Roman"/>
        </w:rPr>
      </w:pPr>
      <w:r>
        <w:rPr>
          <w:rFonts w:ascii="Times New Roman" w:hAnsi="Times New Roman"/>
        </w:rPr>
        <w:t>10.2 A pesquisa de satisfação consistirá em entrevista os estudantes e os servidores da CONCEDENTE que utilizem os serviços prestados, visto que estes são quem se utilizam dos serviços cotidianamente.</w:t>
      </w:r>
    </w:p>
    <w:p>
      <w:pPr>
        <w:pStyle w:val="Normal"/>
        <w:tabs>
          <w:tab w:val="clear" w:pos="708"/>
          <w:tab w:val="left" w:pos="0" w:leader="none"/>
        </w:tabs>
        <w:jc w:val="both"/>
        <w:rPr>
          <w:rFonts w:ascii="Times New Roman" w:hAnsi="Times New Roman"/>
        </w:rPr>
      </w:pPr>
      <w:r>
        <w:rPr>
          <w:rFonts w:ascii="Times New Roman" w:hAnsi="Times New Roman"/>
        </w:rPr>
        <w:t>10.3 Avaliar-se-á em ótimo, bom, regular, ruim e péssimo os seguintes aspectos:</w:t>
      </w:r>
    </w:p>
    <w:p>
      <w:pPr>
        <w:pStyle w:val="Normal"/>
        <w:ind w:left="426" w:hanging="0"/>
        <w:jc w:val="both"/>
        <w:rPr>
          <w:rFonts w:ascii="Times New Roman" w:hAnsi="Times New Roman"/>
        </w:rPr>
      </w:pPr>
      <w:r>
        <w:rPr>
          <w:rFonts w:ascii="Times New Roman" w:hAnsi="Times New Roman"/>
        </w:rPr>
        <w:t>10.3.1 Qualidade das reprografias;</w:t>
      </w:r>
    </w:p>
    <w:p>
      <w:pPr>
        <w:pStyle w:val="Normal"/>
        <w:ind w:left="426" w:hanging="0"/>
        <w:jc w:val="both"/>
        <w:rPr>
          <w:rFonts w:ascii="Times New Roman" w:hAnsi="Times New Roman"/>
          <w:highlight w:val="yellow"/>
        </w:rPr>
      </w:pPr>
      <w:r>
        <w:rPr>
          <w:rFonts w:ascii="Times New Roman" w:hAnsi="Times New Roman"/>
        </w:rPr>
        <w:t>10.3.2 Qualidade do atendimento;</w:t>
      </w:r>
    </w:p>
    <w:p>
      <w:pPr>
        <w:pStyle w:val="Normal"/>
        <w:ind w:left="426" w:hanging="0"/>
        <w:jc w:val="both"/>
        <w:rPr>
          <w:rFonts w:ascii="Times New Roman" w:hAnsi="Times New Roman"/>
        </w:rPr>
      </w:pPr>
      <w:r>
        <w:rPr>
          <w:rFonts w:ascii="Times New Roman" w:hAnsi="Times New Roman"/>
        </w:rPr>
        <w:t>10.3.3 Limpeza e Organização do ambiente</w:t>
      </w:r>
    </w:p>
    <w:p>
      <w:pPr>
        <w:pStyle w:val="Normal"/>
        <w:ind w:left="426" w:hanging="0"/>
        <w:jc w:val="both"/>
        <w:rPr>
          <w:rFonts w:ascii="Times New Roman" w:hAnsi="Times New Roman"/>
        </w:rPr>
      </w:pPr>
      <w:r>
        <w:rPr>
          <w:rFonts w:ascii="Times New Roman" w:hAnsi="Times New Roman"/>
        </w:rPr>
        <w:t>10.3.4 Nível geral de satisfação;</w:t>
      </w:r>
    </w:p>
    <w:p>
      <w:pPr>
        <w:pStyle w:val="Normal"/>
        <w:ind w:left="426" w:hanging="0"/>
        <w:jc w:val="both"/>
        <w:rPr>
          <w:rFonts w:ascii="Times New Roman" w:hAnsi="Times New Roman"/>
        </w:rPr>
      </w:pPr>
      <w:r>
        <w:rPr>
          <w:rFonts w:ascii="Times New Roman" w:hAnsi="Times New Roman"/>
        </w:rPr>
        <w:t>10.3.5 Outros aspectos necessários.</w:t>
      </w:r>
    </w:p>
    <w:p>
      <w:pPr>
        <w:pStyle w:val="Normal"/>
        <w:jc w:val="both"/>
        <w:rPr>
          <w:rFonts w:ascii="Times New Roman" w:hAnsi="Times New Roman"/>
        </w:rPr>
      </w:pPr>
      <w:r>
        <w:rPr>
          <w:rFonts w:ascii="Times New Roman" w:hAnsi="Times New Roman"/>
        </w:rPr>
        <w:t>10.4 Os itens das pesquisas de satisfação serão considerados insatisfatórios quando o somatório de péssimo, de ruim e metade de regular for igual ou maior que 50% (cinquenta por cento).</w:t>
      </w:r>
    </w:p>
    <w:p>
      <w:pPr>
        <w:pStyle w:val="Normal"/>
        <w:jc w:val="both"/>
        <w:rPr>
          <w:rFonts w:ascii="Times New Roman" w:hAnsi="Times New Roman"/>
        </w:rPr>
      </w:pPr>
      <w:r>
        <w:rPr>
          <w:rFonts w:ascii="Times New Roman" w:hAnsi="Times New Roman"/>
        </w:rPr>
        <w:t>10.5 Sempre que o resultado de cada pesquisa de satisfação for insatisfatório, a CONCEDENTE deverá:</w:t>
      </w:r>
    </w:p>
    <w:p>
      <w:pPr>
        <w:pStyle w:val="Normal"/>
        <w:ind w:left="426" w:hanging="0"/>
        <w:jc w:val="both"/>
        <w:rPr>
          <w:rFonts w:ascii="Times New Roman" w:hAnsi="Times New Roman"/>
        </w:rPr>
      </w:pPr>
      <w:r>
        <w:rPr>
          <w:rFonts w:ascii="Times New Roman" w:hAnsi="Times New Roman"/>
        </w:rPr>
        <w:t>10.5.1 Indicar à CONCESSIONÁRIA os itens insatisfatórios.</w:t>
      </w:r>
    </w:p>
    <w:p>
      <w:pPr>
        <w:pStyle w:val="Normal"/>
        <w:ind w:left="426" w:hanging="0"/>
        <w:jc w:val="both"/>
        <w:rPr>
          <w:rFonts w:ascii="Times New Roman" w:hAnsi="Times New Roman"/>
        </w:rPr>
      </w:pPr>
      <w:r>
        <w:rPr>
          <w:rFonts w:ascii="Times New Roman" w:hAnsi="Times New Roman"/>
        </w:rPr>
        <w:t>10.5.2 Solicitar a imediata melhoria dos itens em questão.</w:t>
      </w:r>
    </w:p>
    <w:p>
      <w:pPr>
        <w:pStyle w:val="Normal"/>
        <w:jc w:val="both"/>
        <w:rPr>
          <w:rFonts w:ascii="Times New Roman" w:hAnsi="Times New Roman"/>
        </w:rPr>
      </w:pPr>
      <w:r>
        <w:rPr>
          <w:rFonts w:ascii="Times New Roman" w:hAnsi="Times New Roman"/>
        </w:rPr>
        <w:t>10.6 Caso a pesquisa de satisfação apresente resultado insatisfatório:</w:t>
      </w:r>
    </w:p>
    <w:p>
      <w:pPr>
        <w:pStyle w:val="Normal"/>
        <w:ind w:left="426" w:hanging="0"/>
        <w:jc w:val="both"/>
        <w:rPr>
          <w:rFonts w:ascii="Times New Roman" w:hAnsi="Times New Roman"/>
        </w:rPr>
      </w:pPr>
      <w:r>
        <w:rPr>
          <w:rFonts w:ascii="Times New Roman" w:hAnsi="Times New Roman"/>
        </w:rPr>
        <w:t>10.6.1 Em até dois itens, será encaminhada comunicação formal a fim de obter imediata resolução dos problemas apresentados;</w:t>
      </w:r>
    </w:p>
    <w:p>
      <w:pPr>
        <w:pStyle w:val="Normal"/>
        <w:ind w:left="426" w:hanging="0"/>
        <w:jc w:val="both"/>
        <w:rPr>
          <w:rFonts w:ascii="Times New Roman" w:hAnsi="Times New Roman"/>
        </w:rPr>
      </w:pPr>
      <w:r>
        <w:rPr>
          <w:rFonts w:ascii="Times New Roman" w:hAnsi="Times New Roman"/>
        </w:rPr>
        <w:t>10.6.2 Em três itens, a administração poderá aplicar advertência à CONCESSIONÁRIA;</w:t>
      </w:r>
    </w:p>
    <w:p>
      <w:pPr>
        <w:pStyle w:val="Normal"/>
        <w:ind w:left="426" w:hanging="0"/>
        <w:jc w:val="both"/>
        <w:rPr>
          <w:rFonts w:ascii="Times New Roman" w:hAnsi="Times New Roman"/>
        </w:rPr>
      </w:pPr>
      <w:r>
        <w:rPr>
          <w:rFonts w:ascii="Times New Roman" w:hAnsi="Times New Roman"/>
        </w:rPr>
        <w:t>10.6.3 Em quatro itens, a administração poderá aplicar multa de grau 4, conforme Anexo II do Edital;</w:t>
      </w:r>
    </w:p>
    <w:p>
      <w:pPr>
        <w:pStyle w:val="Normal"/>
        <w:ind w:left="426" w:hanging="0"/>
        <w:jc w:val="both"/>
        <w:rPr>
          <w:rFonts w:ascii="Times New Roman" w:hAnsi="Times New Roman"/>
        </w:rPr>
      </w:pPr>
      <w:r>
        <w:rPr>
          <w:rFonts w:ascii="Times New Roman" w:hAnsi="Times New Roman"/>
        </w:rPr>
        <w:t>10.6.4 Em todos os itens, a administração poderá aplicar multa de grau 5, conforme Anexo II do Edital.</w:t>
      </w:r>
    </w:p>
    <w:p>
      <w:pPr>
        <w:pStyle w:val="Normal"/>
        <w:jc w:val="both"/>
        <w:rPr>
          <w:rFonts w:ascii="Times New Roman" w:hAnsi="Times New Roman"/>
        </w:rPr>
      </w:pPr>
      <w:r>
        <w:rPr>
          <w:rFonts w:ascii="Times New Roman" w:hAnsi="Times New Roman"/>
        </w:rPr>
        <w:t>10.7 Caso haja reincidência de pesquisa de satisfação, no período de doze meses, com resultado insatisfatório:</w:t>
      </w:r>
    </w:p>
    <w:p>
      <w:pPr>
        <w:pStyle w:val="Normal"/>
        <w:tabs>
          <w:tab w:val="clear" w:pos="708"/>
          <w:tab w:val="left" w:pos="567" w:leader="none"/>
        </w:tabs>
        <w:ind w:left="426" w:hanging="0"/>
        <w:jc w:val="both"/>
        <w:rPr>
          <w:rFonts w:ascii="Times New Roman" w:hAnsi="Times New Roman"/>
        </w:rPr>
      </w:pPr>
      <w:r>
        <w:rPr>
          <w:rFonts w:ascii="Times New Roman" w:hAnsi="Times New Roman"/>
        </w:rPr>
        <w:t>10.7.1 Em até dois itens, a administração poderá aplicar advertência à CONCESSIONÁRIA;</w:t>
      </w:r>
    </w:p>
    <w:p>
      <w:pPr>
        <w:pStyle w:val="Normal"/>
        <w:tabs>
          <w:tab w:val="clear" w:pos="708"/>
          <w:tab w:val="left" w:pos="567" w:leader="none"/>
        </w:tabs>
        <w:ind w:left="426" w:hanging="0"/>
        <w:jc w:val="both"/>
        <w:rPr>
          <w:rFonts w:ascii="Times New Roman" w:hAnsi="Times New Roman"/>
        </w:rPr>
      </w:pPr>
      <w:r>
        <w:rPr>
          <w:rFonts w:ascii="Times New Roman" w:hAnsi="Times New Roman"/>
        </w:rPr>
        <w:t>10.7.2 em três itens, a administração poderá aplicar multa de grau 4, conforme Anexo II do Edital;</w:t>
      </w:r>
    </w:p>
    <w:p>
      <w:pPr>
        <w:pStyle w:val="Normal"/>
        <w:tabs>
          <w:tab w:val="clear" w:pos="708"/>
          <w:tab w:val="left" w:pos="567" w:leader="none"/>
        </w:tabs>
        <w:ind w:left="426" w:hanging="0"/>
        <w:jc w:val="both"/>
        <w:rPr>
          <w:rFonts w:ascii="Times New Roman" w:hAnsi="Times New Roman"/>
        </w:rPr>
      </w:pPr>
      <w:r>
        <w:rPr>
          <w:rFonts w:ascii="Times New Roman" w:hAnsi="Times New Roman"/>
        </w:rPr>
        <w:t>10.7.3 em todos os itens, a administração poderá aplicar multa de grau 5, conforme Anexo II do Edital, podendo, ainda, rescindir o Termo de Concessão de Uso.</w:t>
      </w:r>
    </w:p>
    <w:p>
      <w:pPr>
        <w:pStyle w:val="Normal"/>
        <w:tabs>
          <w:tab w:val="clear" w:pos="708"/>
          <w:tab w:val="left" w:pos="0" w:leader="none"/>
        </w:tabs>
        <w:jc w:val="both"/>
        <w:rPr>
          <w:rFonts w:ascii="Times New Roman" w:hAnsi="Times New Roman"/>
        </w:rPr>
      </w:pPr>
      <w:r>
        <w:rPr>
          <w:rFonts w:ascii="Times New Roman" w:hAnsi="Times New Roman"/>
        </w:rPr>
        <w:t>10.8 Após a aplicação de duas advertências no período de doze meses a CONCEDENTE poderá aplicar multa de grau 5, conforme tabela do Anexo II do Edital.</w:t>
      </w:r>
    </w:p>
    <w:p>
      <w:pPr>
        <w:pStyle w:val="Normal"/>
        <w:tabs>
          <w:tab w:val="clear" w:pos="708"/>
          <w:tab w:val="left" w:pos="0" w:leader="none"/>
        </w:tabs>
        <w:jc w:val="both"/>
        <w:rPr>
          <w:rFonts w:ascii="Times New Roman" w:hAnsi="Times New Roman"/>
        </w:rPr>
      </w:pPr>
      <w:r>
        <w:rPr>
          <w:rFonts w:ascii="Times New Roman" w:hAnsi="Times New Roman"/>
        </w:rPr>
        <w:t>10.9 Após a aplicação de três multas - que não se enquadrem na hipótese do item 10.7.3 - em um período inferior a doze meses a CONCEDENTE poderá rescindir o Termo de Concessão de Uso.</w:t>
      </w:r>
    </w:p>
    <w:p>
      <w:pPr>
        <w:pStyle w:val="Normal"/>
        <w:tabs>
          <w:tab w:val="clear" w:pos="708"/>
          <w:tab w:val="left" w:pos="0" w:leader="none"/>
        </w:tabs>
        <w:jc w:val="both"/>
        <w:rPr>
          <w:rFonts w:ascii="Times New Roman" w:hAnsi="Times New Roman"/>
          <w:b/>
          <w:b/>
        </w:rPr>
      </w:pPr>
      <w:r>
        <w:rPr>
          <w:rFonts w:ascii="Times New Roman" w:hAnsi="Times New Roman"/>
          <w:b/>
        </w:rPr>
      </w:r>
    </w:p>
    <w:p>
      <w:pPr>
        <w:pStyle w:val="Normal"/>
        <w:tabs>
          <w:tab w:val="clear" w:pos="708"/>
          <w:tab w:val="left" w:pos="0" w:leader="none"/>
        </w:tabs>
        <w:jc w:val="both"/>
        <w:rPr>
          <w:rFonts w:ascii="Times New Roman" w:hAnsi="Times New Roman"/>
          <w:b/>
          <w:b/>
        </w:rPr>
      </w:pPr>
      <w:r>
        <w:rPr>
          <w:rFonts w:ascii="Times New Roman" w:hAnsi="Times New Roman"/>
          <w:b/>
        </w:rPr>
        <w:t>11. OBRAS E BENFEITORIAS</w:t>
      </w:r>
    </w:p>
    <w:p>
      <w:pPr>
        <w:pStyle w:val="Normal"/>
        <w:tabs>
          <w:tab w:val="clear" w:pos="708"/>
          <w:tab w:val="left" w:pos="0" w:leader="none"/>
        </w:tabs>
        <w:jc w:val="both"/>
        <w:rPr>
          <w:rFonts w:ascii="Times New Roman" w:hAnsi="Times New Roman"/>
        </w:rPr>
      </w:pPr>
      <w:r>
        <w:rPr>
          <w:rFonts w:ascii="Times New Roman" w:hAnsi="Times New Roman"/>
        </w:rPr>
        <w:t>11.1. As obras necessárias ao imóvel objeto do contrato que importarem na segurança ou solidez do prédio serão executadas pela CONCEDENTE. As demais serão executadas pela CONCESSIONÁRIA, às suas exclusivas expensas, sem direito a retenção ou indenização.</w:t>
      </w:r>
    </w:p>
    <w:p>
      <w:pPr>
        <w:pStyle w:val="Normal"/>
        <w:tabs>
          <w:tab w:val="clear" w:pos="708"/>
          <w:tab w:val="left" w:pos="0" w:leader="none"/>
        </w:tabs>
        <w:jc w:val="both"/>
        <w:rPr>
          <w:rFonts w:ascii="Times New Roman" w:hAnsi="Times New Roman"/>
        </w:rPr>
      </w:pPr>
      <w:r>
        <w:rPr>
          <w:rFonts w:ascii="Times New Roman" w:hAnsi="Times New Roman"/>
        </w:rPr>
        <w:t>11.2. Para toda e qualquer benfeitoria a ser introduzida na área concedida, ainda que necessária, será indispensável prévia e expressa autorização por escrito da CONCEDENTE e ela passará a constar como parte integrante do patrimônio da CONCEDENTE, independentemente de indenização.</w:t>
      </w:r>
    </w:p>
    <w:p>
      <w:pPr>
        <w:pStyle w:val="Normal"/>
        <w:tabs>
          <w:tab w:val="clear" w:pos="708"/>
          <w:tab w:val="left" w:pos="0" w:leader="none"/>
        </w:tabs>
        <w:jc w:val="both"/>
        <w:rPr>
          <w:rFonts w:ascii="Times New Roman" w:hAnsi="Times New Roman"/>
        </w:rPr>
      </w:pPr>
      <w:r>
        <w:rPr>
          <w:rFonts w:ascii="Times New Roman" w:hAnsi="Times New Roman"/>
        </w:rPr>
        <w:t>11.3. Finda a concessão de uso, a CONCEDENTE poderá, justificadamente, exigir que as benfeitorias ou modificações introduzidas sejam retiradas às expensas da CONCESSIONÁRIA, que, neste caso, ficará obrigada a pagar a contraprestação mensal devida até que a área objeto do ajuste seja efetivamente restituída à CONCEDENTE.</w:t>
      </w:r>
    </w:p>
    <w:p>
      <w:pPr>
        <w:pStyle w:val="Normal"/>
        <w:tabs>
          <w:tab w:val="clear" w:pos="708"/>
          <w:tab w:val="left" w:pos="0" w:leader="none"/>
        </w:tabs>
        <w:jc w:val="both"/>
        <w:rPr>
          <w:rFonts w:ascii="Times New Roman" w:hAnsi="Times New Roman"/>
        </w:rPr>
      </w:pPr>
      <w:r>
        <w:rPr>
          <w:rFonts w:ascii="Times New Roman" w:hAnsi="Times New Roman"/>
        </w:rPr>
        <w:t xml:space="preserve">11.4. A CONCESSIONÁRIA responsabilizar-se-á pelas redes de instalações internas (elétricas e hidráulicas, se houver) da área concedida, devendo mantê-las em perfeitas condições de uso e funcionamento, devendo para isso: </w:t>
      </w:r>
    </w:p>
    <w:p>
      <w:pPr>
        <w:pStyle w:val="Normal"/>
        <w:tabs>
          <w:tab w:val="clear" w:pos="708"/>
          <w:tab w:val="left" w:pos="567" w:leader="none"/>
        </w:tabs>
        <w:ind w:left="567" w:hanging="0"/>
        <w:jc w:val="both"/>
        <w:rPr>
          <w:rFonts w:ascii="Times New Roman" w:hAnsi="Times New Roman"/>
        </w:rPr>
      </w:pPr>
      <w:r>
        <w:rPr>
          <w:rFonts w:ascii="Times New Roman" w:hAnsi="Times New Roman"/>
        </w:rPr>
        <w:t xml:space="preserve">11.4.1. Comunicar por escrito à CONCEDENTE qualquer dano ou avaria às instalações, ficando obrigada ao ressarcimento dos prejuízos causados; </w:t>
      </w:r>
    </w:p>
    <w:p>
      <w:pPr>
        <w:pStyle w:val="Normal"/>
        <w:tabs>
          <w:tab w:val="clear" w:pos="708"/>
          <w:tab w:val="left" w:pos="567" w:leader="none"/>
        </w:tabs>
        <w:ind w:left="567" w:hanging="0"/>
        <w:jc w:val="both"/>
        <w:rPr>
          <w:rFonts w:ascii="Times New Roman" w:hAnsi="Times New Roman"/>
        </w:rPr>
      </w:pPr>
      <w:r>
        <w:rPr>
          <w:rFonts w:ascii="Times New Roman" w:hAnsi="Times New Roman"/>
        </w:rPr>
        <w:t>11.4.2. Providenciar imediatamente o reparo das instalações ou mesmo a substituição por outra nova, em caso de danos, avarias ou prejuízos causados, inclusive, por seus empregados ou prepostos, no desempenho de suas tarefas ou em conexão com elas;</w:t>
      </w:r>
    </w:p>
    <w:p>
      <w:pPr>
        <w:pStyle w:val="Normal"/>
        <w:tabs>
          <w:tab w:val="clear" w:pos="708"/>
          <w:tab w:val="left" w:pos="567" w:leader="none"/>
        </w:tabs>
        <w:ind w:left="567" w:hanging="0"/>
        <w:jc w:val="both"/>
        <w:rPr>
          <w:rFonts w:ascii="Times New Roman" w:hAnsi="Times New Roman"/>
        </w:rPr>
      </w:pPr>
      <w:r>
        <w:rPr>
          <w:rFonts w:ascii="Times New Roman" w:hAnsi="Times New Roman"/>
        </w:rPr>
        <w:t>11.4.3. Realizar acréscimos de cargas elétricas nas redes de instalação somente após serem devidamente analisados pela CONCEDENTE, por meio de aprovação prévia e por escrito do setor técnico da CONCESSIONÁRIA.</w:t>
      </w:r>
    </w:p>
    <w:p>
      <w:pPr>
        <w:pStyle w:val="Normal"/>
        <w:tabs>
          <w:tab w:val="clear" w:pos="708"/>
          <w:tab w:val="left" w:pos="0" w:leader="none"/>
        </w:tabs>
        <w:jc w:val="both"/>
        <w:rPr>
          <w:rFonts w:ascii="Times New Roman" w:hAnsi="Times New Roman"/>
        </w:rPr>
      </w:pPr>
      <w:r>
        <w:rPr>
          <w:rFonts w:ascii="Times New Roman" w:hAnsi="Times New Roman"/>
        </w:rPr>
        <w:t>11.5. Toda a manutenção efetuada nas instalações, preventiva ou corretiva, no âmbito do objeto do contrato será de responsabilidade da CONCESSIONÁRIA, que arcará com o ônus advindo dessa ação.</w:t>
      </w:r>
    </w:p>
    <w:p>
      <w:pPr>
        <w:pStyle w:val="Normal"/>
        <w:tabs>
          <w:tab w:val="clear" w:pos="708"/>
          <w:tab w:val="left" w:pos="0" w:leader="none"/>
        </w:tabs>
        <w:jc w:val="both"/>
        <w:rPr>
          <w:rFonts w:ascii="Times New Roman" w:hAnsi="Times New Roman"/>
        </w:rPr>
      </w:pPr>
      <w:r>
        <w:rPr>
          <w:rFonts w:ascii="Times New Roman" w:hAnsi="Times New Roman"/>
        </w:rPr>
        <w:t>11.6. Ao início da vigência do contrato, a CONCEDENTE entregará à CONCESSIONÁRIA, acompanhado das chaves da área concedida, relatório informando as condições da área, que deverá ser entregue nas mesmas condições ao final da vigência contratual.</w:t>
      </w:r>
    </w:p>
    <w:p>
      <w:pPr>
        <w:pStyle w:val="Normal"/>
        <w:tabs>
          <w:tab w:val="clear" w:pos="708"/>
          <w:tab w:val="left" w:pos="0" w:leader="none"/>
        </w:tabs>
        <w:jc w:val="both"/>
        <w:rPr>
          <w:rFonts w:ascii="Times New Roman" w:hAnsi="Times New Roman"/>
        </w:rPr>
      </w:pPr>
      <w:r>
        <w:rPr>
          <w:rFonts w:ascii="Times New Roman" w:hAnsi="Times New Roman"/>
        </w:rPr>
        <w:t>11.7. Caso haja qualquer divergência entre as condições iniciais da área concedida e as condições no final da vigência contratual, a CONCESSIONÁRIA obriga-se a executar as obras necessárias aos reparos. Caso o período necessário para a execução dos reparos ultrapasse a vigência contratual, a CONCESSIONÁRIA obriga-se a efetuar o pagamento da contraprestação até a data da efetiva desocupação.</w:t>
      </w:r>
    </w:p>
    <w:p>
      <w:pPr>
        <w:pStyle w:val="Standard"/>
        <w:tabs>
          <w:tab w:val="clear" w:pos="708"/>
          <w:tab w:val="left" w:pos="0" w:leader="none"/>
        </w:tabs>
        <w:spacing w:lineRule="auto" w:line="240" w:before="280" w:after="119"/>
        <w:jc w:val="both"/>
        <w:rPr/>
      </w:pPr>
      <w:r>
        <w:rPr>
          <w:rFonts w:eastAsia="Times New Roman" w:cs="Times New Roman" w:ascii="Times New Roman" w:hAnsi="Times New Roman"/>
          <w:lang w:eastAsia="pt-BR"/>
        </w:rPr>
        <w:t>11.8. A CONCESSIONÁRIA renuncia, desde logo, a qualquer direito de retenção sobre benfeitorias ou acessões realizadas no âmbito do imóvel objeto da concessão.</w:t>
      </w:r>
    </w:p>
    <w:p>
      <w:pPr>
        <w:pStyle w:val="Standard"/>
        <w:tabs>
          <w:tab w:val="clear" w:pos="708"/>
          <w:tab w:val="left" w:pos="0" w:leader="none"/>
        </w:tabs>
        <w:spacing w:lineRule="auto" w:line="240" w:before="280" w:after="119"/>
        <w:jc w:val="both"/>
        <w:rPr>
          <w:rFonts w:ascii="Times New Roman" w:hAnsi="Times New Roman" w:eastAsia="Times New Roman" w:cs="Times New Roman"/>
          <w:lang w:eastAsia="pt-BR"/>
        </w:rPr>
      </w:pPr>
      <w:r>
        <w:rPr>
          <w:rFonts w:eastAsia="Times New Roman" w:cs="Times New Roman" w:ascii="Times New Roman" w:hAnsi="Times New Roman"/>
          <w:lang w:eastAsia="pt-BR"/>
        </w:rPr>
      </w:r>
    </w:p>
    <w:p>
      <w:pPr>
        <w:pStyle w:val="Normal"/>
        <w:tabs>
          <w:tab w:val="clear" w:pos="708"/>
          <w:tab w:val="left" w:pos="0" w:leader="none"/>
        </w:tabs>
        <w:jc w:val="both"/>
        <w:rPr>
          <w:rFonts w:ascii="Times New Roman" w:hAnsi="Times New Roman"/>
          <w:b/>
          <w:b/>
        </w:rPr>
      </w:pPr>
      <w:r>
        <w:rPr>
          <w:rFonts w:ascii="Times New Roman" w:hAnsi="Times New Roman"/>
          <w:b/>
        </w:rPr>
        <w:t>12. PAGAMENTOS</w:t>
      </w:r>
    </w:p>
    <w:p>
      <w:pPr>
        <w:pStyle w:val="Normal"/>
        <w:tabs>
          <w:tab w:val="clear" w:pos="708"/>
          <w:tab w:val="left" w:pos="284" w:leader="none"/>
          <w:tab w:val="left" w:pos="1985" w:leader="none"/>
        </w:tabs>
        <w:spacing w:lineRule="auto" w:line="240"/>
        <w:jc w:val="both"/>
        <w:rPr>
          <w:rFonts w:ascii="Times New Roman" w:hAnsi="Times New Roman" w:eastAsia="Times New Roman"/>
          <w:lang w:eastAsia="pt-BR"/>
        </w:rPr>
      </w:pPr>
      <w:r>
        <w:rPr>
          <w:rFonts w:eastAsia="Times New Roman" w:ascii="Times New Roman" w:hAnsi="Times New Roman"/>
          <w:lang w:eastAsia="pt-BR"/>
        </w:rPr>
        <w:t>12.1. Ao valor mensal ofertado pela CONCESSIONÁRIA serão acrescidos seus gastos com o consumo de energia elétrica durante o mês de referência.</w:t>
      </w:r>
    </w:p>
    <w:p>
      <w:pPr>
        <w:pStyle w:val="Normal"/>
        <w:tabs>
          <w:tab w:val="clear" w:pos="708"/>
          <w:tab w:val="left" w:pos="993" w:leader="none"/>
        </w:tabs>
        <w:spacing w:lineRule="auto" w:line="240" w:beforeAutospacing="1" w:after="119"/>
        <w:ind w:left="567" w:hanging="0"/>
        <w:jc w:val="both"/>
        <w:rPr>
          <w:rFonts w:ascii="Times New Roman" w:hAnsi="Times New Roman" w:eastAsia="Times New Roman"/>
          <w:lang w:eastAsia="pt-BR"/>
        </w:rPr>
      </w:pPr>
      <w:r>
        <w:rPr>
          <w:rFonts w:eastAsia="Times New Roman" w:ascii="Times New Roman" w:hAnsi="Times New Roman"/>
          <w:lang w:eastAsia="pt-BR"/>
        </w:rPr>
        <w:t>12.1.1. O cálculo da demanda mensal de energia elétrica será realizado pela CONCEDENTE tomando por base os gastos incorridos para o local, dados os equipamentos utilizados e as obrigatoriedades assumidas.</w:t>
      </w:r>
    </w:p>
    <w:p>
      <w:pPr>
        <w:pStyle w:val="Normal"/>
        <w:tabs>
          <w:tab w:val="clear" w:pos="708"/>
          <w:tab w:val="left" w:pos="284" w:leader="none"/>
          <w:tab w:val="left" w:pos="1985" w:leader="none"/>
        </w:tabs>
        <w:spacing w:lineRule="auto" w:line="240" w:before="280" w:after="119"/>
        <w:jc w:val="both"/>
        <w:rPr>
          <w:rFonts w:ascii="Times New Roman" w:hAnsi="Times New Roman" w:eastAsia="Times New Roman"/>
          <w:lang w:eastAsia="pt-BR"/>
        </w:rPr>
      </w:pPr>
      <w:r>
        <w:rPr>
          <w:rFonts w:eastAsia="Times New Roman" w:ascii="Times New Roman" w:hAnsi="Times New Roman"/>
          <w:lang w:eastAsia="pt-BR"/>
        </w:rPr>
        <w:t>12.2. A contraprestação deverá ser paga pela CONCESSIONÁRIA até o último dia útil do respectivo mês, por meio de boleto emitido pela CONCEDENTE, em instituição bancária por ela designada.</w:t>
      </w:r>
    </w:p>
    <w:p>
      <w:pPr>
        <w:pStyle w:val="Normal"/>
        <w:tabs>
          <w:tab w:val="clear" w:pos="708"/>
          <w:tab w:val="left" w:pos="284" w:leader="none"/>
          <w:tab w:val="left" w:pos="1985" w:leader="none"/>
        </w:tabs>
        <w:spacing w:lineRule="auto" w:line="240" w:beforeAutospacing="1" w:after="119"/>
        <w:jc w:val="both"/>
        <w:rPr>
          <w:rFonts w:ascii="Times New Roman" w:hAnsi="Times New Roman" w:eastAsia="Times New Roman"/>
          <w:lang w:eastAsia="pt-BR"/>
        </w:rPr>
      </w:pPr>
      <w:r>
        <w:rPr>
          <w:rFonts w:eastAsia="Times New Roman" w:ascii="Times New Roman" w:hAnsi="Times New Roman"/>
          <w:lang w:eastAsia="pt-BR"/>
        </w:rPr>
        <w:t>12.3. O atraso no pagamento da contraprestação ou demais encargos implicará na aplicação de multa de mora calculada à taxa de 0,33% (trinta e três centésimos por cento) por dia de atraso até o limite de 20% (vinte por cento); e juros de mora equivalentes à taxa referencial do Sistema Especial de Liquidação e de Custódia (Selic), acumulada mensalmente, do primeiro dia do mês posterior ao vencimento até o mês anterior ao efetivo pagamento, acrescida de 1% (um por cento) relativo ao mês do pagamento.</w:t>
      </w:r>
    </w:p>
    <w:p>
      <w:pPr>
        <w:pStyle w:val="Normal"/>
        <w:tabs>
          <w:tab w:val="clear" w:pos="708"/>
          <w:tab w:val="left" w:pos="284" w:leader="none"/>
          <w:tab w:val="left" w:pos="1985" w:leader="none"/>
        </w:tabs>
        <w:spacing w:lineRule="auto" w:line="240" w:beforeAutospacing="1" w:after="119"/>
        <w:jc w:val="both"/>
        <w:rPr>
          <w:rFonts w:ascii="Times New Roman" w:hAnsi="Times New Roman" w:eastAsia="Times New Roman"/>
          <w:lang w:eastAsia="pt-BR"/>
        </w:rPr>
      </w:pPr>
      <w:r>
        <w:rPr>
          <w:rFonts w:eastAsia="Times New Roman" w:ascii="Times New Roman" w:hAnsi="Times New Roman"/>
          <w:lang w:eastAsia="pt-BR"/>
        </w:rPr>
        <w:t>12.4. Caso a CONCESSIONÁRIA seja impedida pela CONCEDENTE de executar seus serviços nos horários definidos por este documento, será descontado da contraprestação mensal o valor proporcional ao período durante o qual essas atividades estiverem paralisadas, mediante comprovação que deverá ser encaminhada para análise e manifestação da Pró-Reitoria de Administração;</w:t>
      </w:r>
    </w:p>
    <w:p>
      <w:pPr>
        <w:pStyle w:val="Normal"/>
        <w:tabs>
          <w:tab w:val="clear" w:pos="708"/>
          <w:tab w:val="left" w:pos="993" w:leader="none"/>
          <w:tab w:val="left" w:pos="1985" w:leader="none"/>
        </w:tabs>
        <w:spacing w:lineRule="auto" w:line="240" w:beforeAutospacing="1" w:after="119"/>
        <w:ind w:left="567" w:hanging="0"/>
        <w:jc w:val="both"/>
        <w:rPr>
          <w:rFonts w:ascii="Times New Roman" w:hAnsi="Times New Roman" w:eastAsia="Times New Roman"/>
          <w:lang w:eastAsia="pt-BR"/>
        </w:rPr>
      </w:pPr>
      <w:r>
        <w:rPr>
          <w:rFonts w:eastAsia="Times New Roman" w:ascii="Times New Roman" w:hAnsi="Times New Roman"/>
          <w:lang w:eastAsia="pt-BR"/>
        </w:rPr>
        <w:t>12.4.1. Qualquer desconto que venha a ser concedido à CONCESSIONÁRIA será aplicado sobre a contraprestação com data de vencimento subsequente à data de comprovação do direito ao referido desconto.</w:t>
      </w:r>
    </w:p>
    <w:p>
      <w:pPr>
        <w:pStyle w:val="Normal"/>
        <w:tabs>
          <w:tab w:val="clear" w:pos="708"/>
          <w:tab w:val="left" w:pos="284" w:leader="none"/>
          <w:tab w:val="left" w:pos="1985" w:leader="none"/>
        </w:tabs>
        <w:spacing w:lineRule="auto" w:line="240" w:beforeAutospacing="1" w:after="119"/>
        <w:jc w:val="both"/>
        <w:rPr>
          <w:rFonts w:ascii="Times New Roman" w:hAnsi="Times New Roman" w:eastAsia="Times New Roman"/>
          <w:lang w:eastAsia="pt-BR"/>
        </w:rPr>
      </w:pPr>
      <w:r>
        <w:rPr>
          <w:rFonts w:eastAsia="Times New Roman" w:ascii="Times New Roman" w:hAnsi="Times New Roman"/>
          <w:lang w:eastAsia="pt-BR"/>
        </w:rPr>
        <w:t>12.5. É responsabilidade da CONCESSIONÁRIA retirar o boleto emitido pela CONCEDENTE até o penúltimo dia útil do mês de referência para efetuar o pagamento no prazo estipulado no item 12.2 deste Termo de Referência;</w:t>
      </w:r>
    </w:p>
    <w:p>
      <w:pPr>
        <w:pStyle w:val="Normal"/>
        <w:tabs>
          <w:tab w:val="clear" w:pos="708"/>
          <w:tab w:val="left" w:pos="1276" w:leader="none"/>
        </w:tabs>
        <w:spacing w:lineRule="auto" w:line="240" w:beforeAutospacing="1" w:after="119"/>
        <w:ind w:left="567" w:hanging="0"/>
        <w:jc w:val="both"/>
        <w:rPr>
          <w:rFonts w:ascii="Times New Roman" w:hAnsi="Times New Roman" w:eastAsia="Times New Roman"/>
          <w:lang w:eastAsia="pt-BR"/>
        </w:rPr>
      </w:pPr>
      <w:r>
        <w:rPr>
          <w:rFonts w:eastAsia="Times New Roman" w:ascii="Times New Roman" w:hAnsi="Times New Roman"/>
          <w:lang w:eastAsia="pt-BR"/>
        </w:rPr>
        <w:t>12.5.1. A não retirada do boleto até a data estabelecida no item 12.5 não pode ser usada como justificativa para o não pagamento de qualquer contraprestação;</w:t>
      </w:r>
    </w:p>
    <w:p>
      <w:pPr>
        <w:pStyle w:val="Normal"/>
        <w:tabs>
          <w:tab w:val="clear" w:pos="708"/>
          <w:tab w:val="left" w:pos="0" w:leader="none"/>
        </w:tabs>
        <w:jc w:val="both"/>
        <w:rPr>
          <w:rFonts w:ascii="Times New Roman" w:hAnsi="Times New Roman"/>
        </w:rPr>
      </w:pPr>
      <w:r>
        <w:rPr>
          <w:rFonts w:ascii="Times New Roman" w:hAnsi="Times New Roman"/>
        </w:rPr>
        <w:t>12.6. Depois de realizado o pagamento, a CONCESSIONÁRIA deverá fornecer cópia de comprovante à CONCEDENTE quando for solicitado.</w:t>
      </w:r>
    </w:p>
    <w:p>
      <w:pPr>
        <w:pStyle w:val="Corpodotexto"/>
        <w:tabs>
          <w:tab w:val="clear" w:pos="708"/>
          <w:tab w:val="left" w:pos="0" w:leader="none"/>
        </w:tabs>
        <w:jc w:val="both"/>
        <w:rPr/>
      </w:pPr>
      <w:r>
        <w:rPr>
          <w:rFonts w:eastAsia="Times New Roman" w:ascii="Times New Roman" w:hAnsi="Times New Roman"/>
          <w:lang w:eastAsia="zh-CN"/>
        </w:rPr>
        <w:t>12.7. Dar-se-á início à cobrança da contraprestação a partir da data de início da prestação dos serviços, devendo a CONCESSIONÁRIA iniciar as atividades em no máximo dez dias após a assinatura do Termo de Contrato, podendo este prazo ser prorrogado se as aulas presenciais estiverem suspensas ou mediante autorização da CONCEDENTE.</w:t>
      </w:r>
    </w:p>
    <w:p>
      <w:pPr>
        <w:pStyle w:val="Corpodotexto"/>
        <w:tabs>
          <w:tab w:val="clear" w:pos="708"/>
          <w:tab w:val="left" w:pos="0" w:leader="none"/>
        </w:tabs>
        <w:jc w:val="both"/>
        <w:rPr>
          <w:rFonts w:ascii="Times New Roman" w:hAnsi="Times New Roman"/>
        </w:rPr>
      </w:pPr>
      <w:r>
        <w:rPr>
          <w:rFonts w:ascii="Times New Roman" w:hAnsi="Times New Roman"/>
        </w:rPr>
      </w:r>
    </w:p>
    <w:p>
      <w:pPr>
        <w:pStyle w:val="Normal"/>
        <w:tabs>
          <w:tab w:val="clear" w:pos="708"/>
          <w:tab w:val="left" w:pos="0" w:leader="none"/>
        </w:tabs>
        <w:jc w:val="both"/>
        <w:rPr>
          <w:rFonts w:ascii="Times New Roman" w:hAnsi="Times New Roman"/>
          <w:b/>
          <w:b/>
        </w:rPr>
      </w:pPr>
      <w:r>
        <w:rPr>
          <w:rFonts w:ascii="Times New Roman" w:hAnsi="Times New Roman"/>
          <w:b/>
        </w:rPr>
        <w:t>13. REQUISITOS DE QUALIFICAÇÃO TÉCNICA</w:t>
      </w:r>
    </w:p>
    <w:p>
      <w:pPr>
        <w:pStyle w:val="Normal"/>
        <w:tabs>
          <w:tab w:val="clear" w:pos="708"/>
          <w:tab w:val="left" w:pos="0" w:leader="none"/>
        </w:tabs>
        <w:jc w:val="both"/>
        <w:rPr/>
      </w:pPr>
      <w:r>
        <w:rPr>
          <w:rFonts w:ascii="Times New Roman" w:hAnsi="Times New Roman"/>
        </w:rPr>
        <w:t xml:space="preserve">13.1. </w:t>
      </w:r>
      <w:r>
        <w:rPr>
          <w:rFonts w:eastAsia="Times New Roman" w:ascii="Times New Roman" w:hAnsi="Times New Roman"/>
          <w:lang w:eastAsia="pt-BR"/>
        </w:rPr>
        <w:t>Deverá constar obrigatoriamente na proposta dos licitantes, além daqueles que o Departamento de Licitações vier a exigir em edital, os seguintes documentos:</w:t>
      </w:r>
    </w:p>
    <w:p>
      <w:pPr>
        <w:pStyle w:val="Normal"/>
        <w:tabs>
          <w:tab w:val="clear" w:pos="708"/>
          <w:tab w:val="left" w:pos="0" w:leader="none"/>
        </w:tabs>
        <w:jc w:val="both"/>
        <w:rPr>
          <w:rFonts w:ascii="Times New Roman" w:hAnsi="Times New Roman"/>
          <w:bCs/>
        </w:rPr>
      </w:pPr>
      <w:r>
        <w:rPr>
          <w:rFonts w:ascii="Times New Roman" w:hAnsi="Times New Roman"/>
        </w:rPr>
        <w:t xml:space="preserve">         </w:t>
      </w:r>
      <w:r>
        <w:rPr>
          <w:rFonts w:ascii="Times New Roman" w:hAnsi="Times New Roman"/>
        </w:rPr>
        <w:t xml:space="preserve">13.1.1. </w:t>
      </w:r>
      <w:r>
        <w:rPr>
          <w:rFonts w:ascii="Times New Roman" w:hAnsi="Times New Roman"/>
          <w:bCs/>
        </w:rPr>
        <w:t xml:space="preserve">Prova de capacidade técnica da empresa, mediante a apresentação de atestado (s) de capacidade técnica, fornecido por pessoa jurídica de direito público ou privado, que comprove a aptidão da empresa licitante para </w:t>
      </w:r>
      <w:r>
        <w:rPr>
          <w:rFonts w:eastAsia="Calibri" w:cs="Times New Roman" w:ascii="Times New Roman" w:hAnsi="Times New Roman"/>
          <w:bCs/>
          <w:color w:val="auto"/>
          <w:kern w:val="0"/>
          <w:sz w:val="22"/>
          <w:szCs w:val="22"/>
          <w:lang w:val="pt-BR" w:eastAsia="en-US" w:bidi="ar-SA"/>
        </w:rPr>
        <w:t xml:space="preserve">a prestação de serviços de </w:t>
      </w:r>
      <w:r>
        <w:rPr>
          <w:rFonts w:eastAsia="Times New Roman" w:cs="Times New Roman" w:ascii="Times New Roman" w:hAnsi="Times New Roman"/>
          <w:bCs/>
          <w:color w:val="auto"/>
          <w:kern w:val="0"/>
          <w:sz w:val="22"/>
          <w:szCs w:val="22"/>
          <w:lang w:val="pt-BR" w:eastAsia="pt-BR" w:bidi="ar-SA"/>
        </w:rPr>
        <w:t>reprografia, impressão, digitalização e encadernação.</w:t>
      </w:r>
    </w:p>
    <w:p>
      <w:pPr>
        <w:pStyle w:val="Normal"/>
        <w:tabs>
          <w:tab w:val="clear" w:pos="708"/>
          <w:tab w:val="left" w:pos="0" w:leader="none"/>
        </w:tabs>
        <w:jc w:val="both"/>
        <w:rPr>
          <w:rFonts w:ascii="Times New Roman" w:hAnsi="Times New Roman"/>
        </w:rPr>
      </w:pPr>
      <w:r>
        <w:rPr>
          <w:rFonts w:ascii="Times New Roman" w:hAnsi="Times New Roman"/>
        </w:rPr>
        <w:t xml:space="preserve">13.2. </w:t>
      </w:r>
      <w:r>
        <w:rPr>
          <w:rFonts w:ascii="Times New Roman" w:hAnsi="Times New Roman"/>
          <w:bCs/>
        </w:rPr>
        <w:t>Declaração de vistoria ao local</w:t>
      </w:r>
      <w:r>
        <w:rPr>
          <w:rFonts w:ascii="Times New Roman" w:hAnsi="Times New Roman"/>
        </w:rPr>
        <w:t xml:space="preserve"> onde o serviço a ser contratado será prestado ou, na sua ausência, declaração da licitante assumindo a responsabilidade pela ocorrência de eventuais prejuízos em virtude de sua omissão na verificação do respectivo local.</w:t>
      </w:r>
    </w:p>
    <w:p>
      <w:pPr>
        <w:pStyle w:val="NormalWeb"/>
        <w:spacing w:before="280" w:after="280"/>
        <w:ind w:left="567" w:hanging="0"/>
        <w:jc w:val="both"/>
        <w:rPr>
          <w:rFonts w:eastAsia="Calibri"/>
          <w:sz w:val="22"/>
          <w:szCs w:val="22"/>
          <w:lang w:eastAsia="en-US"/>
        </w:rPr>
      </w:pPr>
      <w:r>
        <w:rPr>
          <w:rFonts w:eastAsia="Calibri"/>
          <w:sz w:val="22"/>
          <w:szCs w:val="22"/>
          <w:lang w:eastAsia="en-US"/>
        </w:rPr>
        <w:t xml:space="preserve">13.2.1.  A visita técnica é facultativa, podendo o licitante realizá-la por intermédio de representante legal. Optando pela visita, o licitante deverá apresentar uma declaração, nos termos do modelo constante do Anexo </w:t>
      </w:r>
      <w:r>
        <w:rPr>
          <w:rFonts w:eastAsia="Calibri"/>
          <w:color w:val="000000"/>
          <w:sz w:val="22"/>
          <w:szCs w:val="22"/>
          <w:lang w:eastAsia="en-US"/>
        </w:rPr>
        <w:t>IV</w:t>
      </w:r>
      <w:r>
        <w:rPr>
          <w:rFonts w:eastAsia="Calibri"/>
          <w:sz w:val="22"/>
          <w:szCs w:val="22"/>
          <w:lang w:eastAsia="en-US"/>
        </w:rPr>
        <w:t xml:space="preserve"> do Edital, constando assinatura de servidor da UFSC para sua validação.</w:t>
      </w:r>
    </w:p>
    <w:p>
      <w:pPr>
        <w:pStyle w:val="NormalWeb"/>
        <w:spacing w:before="280" w:after="280"/>
        <w:ind w:left="567" w:hanging="0"/>
        <w:jc w:val="both"/>
        <w:rPr>
          <w:rFonts w:eastAsia="Calibri"/>
          <w:sz w:val="22"/>
          <w:szCs w:val="22"/>
          <w:lang w:eastAsia="en-US"/>
        </w:rPr>
      </w:pPr>
      <w:r>
        <w:rPr>
          <w:rFonts w:eastAsia="Calibri"/>
          <w:sz w:val="22"/>
          <w:szCs w:val="22"/>
          <w:lang w:eastAsia="en-US"/>
        </w:rPr>
        <w:t xml:space="preserve">13.2.2. Caso o licitante opte por não realizar a visita técnica, deverá apresentar declaração, nos termos do </w:t>
      </w:r>
      <w:r>
        <w:rPr>
          <w:rFonts w:eastAsia="Calibri"/>
          <w:color w:val="000000"/>
          <w:sz w:val="22"/>
          <w:szCs w:val="22"/>
          <w:lang w:eastAsia="en-US"/>
        </w:rPr>
        <w:t>Anexo V do Edital</w:t>
      </w:r>
      <w:r>
        <w:rPr>
          <w:rFonts w:eastAsia="Calibri"/>
          <w:sz w:val="22"/>
          <w:szCs w:val="22"/>
          <w:lang w:eastAsia="en-US"/>
        </w:rPr>
        <w:t>, de que não efetuou a visita, mas que concorda com todas as condições estabelecidas no Edital e seus Anexos e, ainda, que assume toda e qualquer responsabilidade pela ocorrência de eventuais prejuízos em virtude de sua omissão na verificação das condições do local de execução do objeto do certame.</w:t>
      </w:r>
    </w:p>
    <w:p>
      <w:pPr>
        <w:pStyle w:val="NormalWeb"/>
        <w:spacing w:before="280" w:after="280"/>
        <w:ind w:left="567" w:hanging="0"/>
        <w:jc w:val="both"/>
        <w:rPr>
          <w:rFonts w:eastAsia="Calibri"/>
          <w:sz w:val="22"/>
          <w:szCs w:val="22"/>
          <w:lang w:eastAsia="en-US"/>
        </w:rPr>
      </w:pPr>
      <w:r>
        <w:rPr>
          <w:rFonts w:eastAsia="Calibri"/>
          <w:sz w:val="22"/>
          <w:szCs w:val="22"/>
          <w:lang w:eastAsia="en-US"/>
        </w:rPr>
        <w:t xml:space="preserve">13.2.3.Informações sobre o local de execução do objeto para a realização da visita técnica poderão ser obtidas junto à </w:t>
      </w:r>
      <w:r>
        <w:rPr>
          <w:rStyle w:val="LinkdaInternet"/>
          <w:rFonts w:eastAsia="Calibri"/>
          <w:color w:val="auto"/>
          <w:sz w:val="22"/>
          <w:szCs w:val="22"/>
          <w:u w:val="none"/>
          <w:lang w:eastAsia="en-US"/>
        </w:rPr>
        <w:t xml:space="preserve">Direção do </w:t>
      </w:r>
      <w:r>
        <w:rPr>
          <w:rStyle w:val="LinkdaInternet"/>
          <w:rFonts w:eastAsia="Calibri" w:cs="Verdana"/>
          <w:b w:val="false"/>
          <w:bCs w:val="false"/>
          <w:color w:val="000000"/>
          <w:kern w:val="0"/>
          <w:sz w:val="23"/>
          <w:szCs w:val="23"/>
          <w:highlight w:val="yellow"/>
          <w:u w:val="none"/>
          <w:lang w:val="pt-BR" w:eastAsia="pt-BR" w:bidi="ar-SA"/>
        </w:rPr>
        <w:t>XX</w:t>
      </w:r>
      <w:r>
        <w:rPr>
          <w:rStyle w:val="LinkdaInternet"/>
          <w:rFonts w:eastAsia="Calibri"/>
          <w:color w:val="auto"/>
          <w:sz w:val="22"/>
          <w:szCs w:val="22"/>
          <w:u w:val="none"/>
          <w:lang w:eastAsia="en-US"/>
        </w:rPr>
        <w:t xml:space="preserve">, por meio dos telefones </w:t>
      </w:r>
      <w:r>
        <w:rPr>
          <w:rStyle w:val="LinkdaInternet"/>
          <w:rFonts w:eastAsia="Calibri" w:cs="Verdana"/>
          <w:b w:val="false"/>
          <w:bCs w:val="false"/>
          <w:color w:val="000000"/>
          <w:kern w:val="0"/>
          <w:sz w:val="23"/>
          <w:szCs w:val="23"/>
          <w:highlight w:val="yellow"/>
          <w:u w:val="none"/>
          <w:lang w:val="pt-BR" w:eastAsia="pt-BR" w:bidi="ar-SA"/>
        </w:rPr>
        <w:t>XX</w:t>
      </w:r>
      <w:r>
        <w:rPr>
          <w:rStyle w:val="LinkdaInternet"/>
          <w:rFonts w:eastAsia="Calibri"/>
          <w:color w:val="auto"/>
          <w:sz w:val="22"/>
          <w:szCs w:val="22"/>
          <w:u w:val="none"/>
          <w:lang w:eastAsia="en-US"/>
        </w:rPr>
        <w:t xml:space="preserve"> e e-mail </w:t>
      </w:r>
      <w:r>
        <w:rPr>
          <w:rStyle w:val="LinkdaInternet"/>
          <w:rFonts w:eastAsia="Calibri" w:cs="Verdana"/>
          <w:b w:val="false"/>
          <w:bCs w:val="false"/>
          <w:color w:val="000000"/>
          <w:kern w:val="0"/>
          <w:sz w:val="23"/>
          <w:szCs w:val="23"/>
          <w:highlight w:val="yellow"/>
          <w:u w:val="none"/>
          <w:lang w:val="pt-BR" w:eastAsia="pt-BR" w:bidi="ar-SA"/>
        </w:rPr>
        <w:t>XX</w:t>
      </w:r>
      <w:r>
        <w:rPr>
          <w:rFonts w:eastAsia="Calibri"/>
          <w:sz w:val="22"/>
          <w:szCs w:val="22"/>
          <w:lang w:eastAsia="en-US"/>
        </w:rPr>
        <w:t xml:space="preserve"> .</w:t>
      </w:r>
    </w:p>
    <w:p>
      <w:pPr>
        <w:pStyle w:val="NormalWeb"/>
        <w:spacing w:before="280" w:after="280"/>
        <w:jc w:val="both"/>
        <w:rPr>
          <w:rFonts w:eastAsia="Calibri"/>
          <w:sz w:val="22"/>
          <w:szCs w:val="22"/>
          <w:lang w:eastAsia="en-US"/>
        </w:rPr>
      </w:pPr>
      <w:r>
        <w:rPr>
          <w:rFonts w:eastAsia="Calibri"/>
          <w:sz w:val="22"/>
          <w:szCs w:val="22"/>
          <w:lang w:eastAsia="en-US"/>
        </w:rPr>
      </w:r>
    </w:p>
    <w:p>
      <w:pPr>
        <w:pStyle w:val="Normal"/>
        <w:tabs>
          <w:tab w:val="clear" w:pos="708"/>
          <w:tab w:val="left" w:pos="0" w:leader="none"/>
        </w:tabs>
        <w:jc w:val="both"/>
        <w:rPr>
          <w:rFonts w:ascii="Times New Roman" w:hAnsi="Times New Roman"/>
          <w:b/>
          <w:b/>
        </w:rPr>
      </w:pPr>
      <w:r>
        <w:rPr>
          <w:rFonts w:ascii="Times New Roman" w:hAnsi="Times New Roman"/>
          <w:b/>
        </w:rPr>
        <w:t>14. FORMALIZAÇÃO DO TERMO DE CONTRATO, VIGÊNCIA, VALOR, RESCISÃO E ALTERAÇÕES</w:t>
      </w:r>
    </w:p>
    <w:p>
      <w:pPr>
        <w:pStyle w:val="Normal"/>
        <w:tabs>
          <w:tab w:val="clear" w:pos="708"/>
          <w:tab w:val="left" w:pos="0" w:leader="none"/>
        </w:tabs>
        <w:jc w:val="both"/>
        <w:rPr>
          <w:rFonts w:ascii="Times New Roman" w:hAnsi="Times New Roman"/>
        </w:rPr>
      </w:pPr>
      <w:r>
        <w:rPr>
          <w:rFonts w:ascii="Times New Roman" w:hAnsi="Times New Roman"/>
        </w:rPr>
        <w:t>14.1. Termo de Contrato e Vigência:</w:t>
      </w:r>
    </w:p>
    <w:p>
      <w:pPr>
        <w:pStyle w:val="Normal"/>
        <w:tabs>
          <w:tab w:val="clear" w:pos="708"/>
          <w:tab w:val="left" w:pos="567" w:leader="none"/>
        </w:tabs>
        <w:ind w:left="567" w:hanging="0"/>
        <w:jc w:val="both"/>
        <w:rPr>
          <w:rFonts w:ascii="Times New Roman" w:hAnsi="Times New Roman"/>
        </w:rPr>
      </w:pPr>
      <w:r>
        <w:rPr>
          <w:rFonts w:ascii="Times New Roman" w:hAnsi="Times New Roman"/>
        </w:rPr>
        <w:t>14.1.1. O prazo de vigência do contrato é de 12 meses, tendo início na data de sua assinatura.</w:t>
      </w:r>
    </w:p>
    <w:p>
      <w:pPr>
        <w:pStyle w:val="Normal"/>
        <w:tabs>
          <w:tab w:val="clear" w:pos="708"/>
          <w:tab w:val="left" w:pos="567" w:leader="none"/>
        </w:tabs>
        <w:ind w:left="567" w:hanging="0"/>
        <w:jc w:val="both"/>
        <w:rPr>
          <w:rFonts w:ascii="Times New Roman" w:hAnsi="Times New Roman"/>
        </w:rPr>
      </w:pPr>
      <w:r>
        <w:rPr>
          <w:rFonts w:ascii="Times New Roman" w:hAnsi="Times New Roman"/>
        </w:rPr>
        <w:t xml:space="preserve">14.1.2. O contrato poderá ser prorrogado, mediante termo aditivo, a cada 12 meses, até o limite de 60 meses, caso sejam preenchidos os requisitos abaixo enumerados de forma simultânea, e autorizado formalmente pela autoridade competente: </w:t>
      </w:r>
    </w:p>
    <w:p>
      <w:pPr>
        <w:pStyle w:val="Normal"/>
        <w:tabs>
          <w:tab w:val="clear" w:pos="708"/>
          <w:tab w:val="left" w:pos="1276" w:leader="none"/>
        </w:tabs>
        <w:ind w:left="1276" w:hanging="0"/>
        <w:jc w:val="both"/>
        <w:rPr>
          <w:rFonts w:ascii="Times New Roman" w:hAnsi="Times New Roman"/>
        </w:rPr>
      </w:pPr>
      <w:r>
        <w:rPr>
          <w:rFonts w:ascii="Times New Roman" w:hAnsi="Times New Roman"/>
        </w:rPr>
        <w:t xml:space="preserve">a) Os serviços foram prestados regularmente; </w:t>
      </w:r>
    </w:p>
    <w:p>
      <w:pPr>
        <w:pStyle w:val="Normal"/>
        <w:tabs>
          <w:tab w:val="clear" w:pos="708"/>
          <w:tab w:val="left" w:pos="1276" w:leader="none"/>
        </w:tabs>
        <w:ind w:left="1276" w:hanging="0"/>
        <w:jc w:val="both"/>
        <w:rPr>
          <w:rFonts w:ascii="Times New Roman" w:hAnsi="Times New Roman"/>
        </w:rPr>
      </w:pPr>
      <w:r>
        <w:rPr>
          <w:rFonts w:ascii="Times New Roman" w:hAnsi="Times New Roman"/>
        </w:rPr>
        <w:t xml:space="preserve">b) A CONCESSIONÁRIA não tenha sofrido qualquer punição de natureza pecuniária, </w:t>
      </w:r>
      <w:r>
        <w:rPr>
          <w:rFonts w:eastAsia="Times New Roman" w:ascii="Times New Roman" w:hAnsi="Times New Roman"/>
          <w:lang w:eastAsia="pt-BR"/>
        </w:rPr>
        <w:t xml:space="preserve">exceto a decorrente do item 10 deste </w:t>
      </w:r>
      <w:r>
        <w:rPr>
          <w:rFonts w:ascii="Times New Roman" w:hAnsi="Times New Roman"/>
        </w:rPr>
        <w:t>Termo de Referência;</w:t>
      </w:r>
    </w:p>
    <w:p>
      <w:pPr>
        <w:pStyle w:val="Normal"/>
        <w:tabs>
          <w:tab w:val="clear" w:pos="708"/>
          <w:tab w:val="left" w:pos="1276" w:leader="none"/>
        </w:tabs>
        <w:ind w:left="1276" w:hanging="0"/>
        <w:jc w:val="both"/>
        <w:rPr>
          <w:rFonts w:ascii="Times New Roman" w:hAnsi="Times New Roman"/>
        </w:rPr>
      </w:pPr>
      <w:r>
        <w:rPr>
          <w:rFonts w:ascii="Times New Roman" w:hAnsi="Times New Roman"/>
        </w:rPr>
        <w:t>c) A CONCEDENTE ainda tenha interesse na realização do serviço;</w:t>
      </w:r>
    </w:p>
    <w:p>
      <w:pPr>
        <w:pStyle w:val="Normal"/>
        <w:tabs>
          <w:tab w:val="clear" w:pos="708"/>
          <w:tab w:val="left" w:pos="1276" w:leader="none"/>
        </w:tabs>
        <w:ind w:left="1276" w:hanging="0"/>
        <w:jc w:val="both"/>
        <w:rPr>
          <w:rFonts w:ascii="Times New Roman" w:hAnsi="Times New Roman"/>
        </w:rPr>
      </w:pPr>
      <w:r>
        <w:rPr>
          <w:rFonts w:ascii="Times New Roman" w:hAnsi="Times New Roman"/>
        </w:rPr>
        <w:t xml:space="preserve">d) O valor do contrato permaneça economicamente vantajoso para a CONCEDENTE; e </w:t>
      </w:r>
    </w:p>
    <w:p>
      <w:pPr>
        <w:pStyle w:val="Normal"/>
        <w:tabs>
          <w:tab w:val="clear" w:pos="708"/>
          <w:tab w:val="left" w:pos="1276" w:leader="none"/>
        </w:tabs>
        <w:ind w:left="1276" w:hanging="0"/>
        <w:jc w:val="both"/>
        <w:rPr>
          <w:rFonts w:ascii="Times New Roman" w:hAnsi="Times New Roman"/>
        </w:rPr>
      </w:pPr>
      <w:r>
        <w:rPr>
          <w:rFonts w:ascii="Times New Roman" w:hAnsi="Times New Roman"/>
        </w:rPr>
        <w:t>e) A CONCESSIONÁRIA concorde com a prorrogação.</w:t>
      </w:r>
    </w:p>
    <w:p>
      <w:pPr>
        <w:pStyle w:val="Normal"/>
        <w:tabs>
          <w:tab w:val="clear" w:pos="708"/>
          <w:tab w:val="left" w:pos="0" w:leader="none"/>
        </w:tabs>
        <w:jc w:val="both"/>
        <w:rPr>
          <w:rFonts w:ascii="Times New Roman" w:hAnsi="Times New Roman"/>
        </w:rPr>
      </w:pPr>
      <w:r>
        <w:rPr>
          <w:rFonts w:ascii="Times New Roman" w:hAnsi="Times New Roman"/>
        </w:rPr>
        <w:t>14.2. Reajuste:</w:t>
      </w:r>
    </w:p>
    <w:p>
      <w:pPr>
        <w:pStyle w:val="Normal"/>
        <w:tabs>
          <w:tab w:val="clear" w:pos="708"/>
          <w:tab w:val="left" w:pos="567" w:leader="none"/>
        </w:tabs>
        <w:ind w:left="567" w:hanging="0"/>
        <w:jc w:val="both"/>
        <w:rPr/>
      </w:pPr>
      <w:r>
        <w:rPr>
          <w:rFonts w:ascii="Times New Roman" w:hAnsi="Times New Roman"/>
        </w:rPr>
        <w:t xml:space="preserve">14.2.1. </w:t>
      </w:r>
      <w:r>
        <w:rPr>
          <w:rFonts w:eastAsia="Times New Roman" w:ascii="Times New Roman" w:hAnsi="Times New Roman"/>
          <w:lang w:eastAsia="pt-BR"/>
        </w:rPr>
        <w:t>O valor da contraprestação será reajustado anualmente de acordo com a variação acumulada do IPC-A ou qualquer outro índice oficial, se houver determinação por parte do Governo Federal ou dos órgãos de controle, passando a dar-se incidência do reajuste em períodos menores assim que o admitirem os dispositivos legais e regulamentares aplicáveis.</w:t>
      </w:r>
    </w:p>
    <w:p>
      <w:pPr>
        <w:pStyle w:val="Normal"/>
        <w:tabs>
          <w:tab w:val="clear" w:pos="708"/>
          <w:tab w:val="left" w:pos="567" w:leader="none"/>
        </w:tabs>
        <w:ind w:left="567" w:hanging="0"/>
        <w:jc w:val="both"/>
        <w:rPr>
          <w:rFonts w:ascii="Times New Roman" w:hAnsi="Times New Roman"/>
        </w:rPr>
      </w:pPr>
      <w:r>
        <w:rPr>
          <w:rFonts w:ascii="Times New Roman" w:hAnsi="Times New Roman"/>
        </w:rPr>
        <w:t xml:space="preserve">14.2.2. Para fins do reajuste de que trata o item 14.2.1, serão consideradas apenas as variações acumuladas positivas do índice. </w:t>
      </w:r>
    </w:p>
    <w:p>
      <w:pPr>
        <w:pStyle w:val="Normal"/>
        <w:tabs>
          <w:tab w:val="clear" w:pos="708"/>
          <w:tab w:val="left" w:pos="0" w:leader="none"/>
        </w:tabs>
        <w:jc w:val="both"/>
        <w:rPr>
          <w:rFonts w:ascii="Times New Roman" w:hAnsi="Times New Roman"/>
        </w:rPr>
      </w:pPr>
      <w:r>
        <w:rPr>
          <w:rFonts w:ascii="Times New Roman" w:hAnsi="Times New Roman"/>
        </w:rPr>
        <w:t>14.3. Rescisão de Contrato:</w:t>
      </w:r>
    </w:p>
    <w:p>
      <w:pPr>
        <w:pStyle w:val="Normal"/>
        <w:tabs>
          <w:tab w:val="clear" w:pos="708"/>
          <w:tab w:val="left" w:pos="567" w:leader="none"/>
        </w:tabs>
        <w:ind w:left="567" w:hanging="0"/>
        <w:jc w:val="both"/>
        <w:rPr>
          <w:rFonts w:ascii="Times New Roman" w:hAnsi="Times New Roman"/>
        </w:rPr>
      </w:pPr>
      <w:r>
        <w:rPr>
          <w:rFonts w:ascii="Times New Roman" w:hAnsi="Times New Roman"/>
        </w:rPr>
        <w:t>14.3.1. A rescisão do contrato poderá ser:</w:t>
      </w:r>
    </w:p>
    <w:p>
      <w:pPr>
        <w:pStyle w:val="Normal"/>
        <w:tabs>
          <w:tab w:val="clear" w:pos="708"/>
          <w:tab w:val="left" w:pos="1276" w:leader="none"/>
        </w:tabs>
        <w:ind w:left="1276" w:hanging="0"/>
        <w:jc w:val="both"/>
        <w:rPr>
          <w:rFonts w:ascii="Times New Roman" w:hAnsi="Times New Roman"/>
        </w:rPr>
      </w:pPr>
      <w:r>
        <w:rPr>
          <w:rFonts w:ascii="Times New Roman" w:hAnsi="Times New Roman"/>
        </w:rPr>
        <w:t>a) Determinada por ato unilateral e escrito da CONCEDENTE, nos casos enumerados nos incisos I a XII do artigo 78 da Lei n° 8.666/93, notificando-se a CONCESSIONÁRIA com antecedência mínima de 30 dias;</w:t>
      </w:r>
    </w:p>
    <w:p>
      <w:pPr>
        <w:pStyle w:val="Normal"/>
        <w:tabs>
          <w:tab w:val="clear" w:pos="708"/>
          <w:tab w:val="left" w:pos="1276" w:leader="none"/>
        </w:tabs>
        <w:ind w:left="1276" w:hanging="0"/>
        <w:jc w:val="both"/>
        <w:rPr>
          <w:rFonts w:ascii="Times New Roman" w:hAnsi="Times New Roman"/>
        </w:rPr>
      </w:pPr>
      <w:r>
        <w:rPr>
          <w:rFonts w:ascii="Times New Roman" w:hAnsi="Times New Roman"/>
        </w:rPr>
        <w:t>b) Amigável, por acordo entre as partes, reduzido a termo, desde que haja conveniência para a CONCEDENTE;</w:t>
      </w:r>
    </w:p>
    <w:p>
      <w:pPr>
        <w:pStyle w:val="Normal"/>
        <w:tabs>
          <w:tab w:val="clear" w:pos="708"/>
          <w:tab w:val="left" w:pos="1276" w:leader="none"/>
        </w:tabs>
        <w:ind w:left="1276" w:hanging="0"/>
        <w:jc w:val="both"/>
        <w:rPr>
          <w:rFonts w:ascii="Times New Roman" w:hAnsi="Times New Roman"/>
        </w:rPr>
      </w:pPr>
      <w:r>
        <w:rPr>
          <w:rFonts w:ascii="Times New Roman" w:hAnsi="Times New Roman"/>
        </w:rPr>
        <w:t>c) Judicial, nos termos da legislação vigente sobre a matéria.</w:t>
      </w:r>
    </w:p>
    <w:p>
      <w:pPr>
        <w:pStyle w:val="Normal"/>
        <w:ind w:left="567" w:hanging="0"/>
        <w:jc w:val="both"/>
        <w:rPr>
          <w:rFonts w:ascii="Times New Roman" w:hAnsi="Times New Roman"/>
        </w:rPr>
      </w:pPr>
      <w:r>
        <w:rPr>
          <w:rFonts w:ascii="Times New Roman" w:hAnsi="Times New Roman"/>
        </w:rPr>
        <w:t>14.3.2. Será considerado justo motivo para rescisão unilateral do contrato pela CONCEDENTE:</w:t>
      </w:r>
    </w:p>
    <w:p>
      <w:pPr>
        <w:pStyle w:val="Normal"/>
        <w:tabs>
          <w:tab w:val="clear" w:pos="708"/>
          <w:tab w:val="left" w:pos="1276" w:leader="none"/>
        </w:tabs>
        <w:ind w:left="1276" w:hanging="0"/>
        <w:jc w:val="both"/>
        <w:rPr>
          <w:rFonts w:ascii="Times New Roman" w:hAnsi="Times New Roman"/>
        </w:rPr>
      </w:pPr>
      <w:r>
        <w:rPr>
          <w:rFonts w:ascii="Times New Roman" w:hAnsi="Times New Roman"/>
        </w:rPr>
        <w:t>14.3.2.1. A inexecução total ou parcial deste contrato, conforme disposto nos artigos 77 a 80 da Lei n.° 8.666/93.</w:t>
      </w:r>
    </w:p>
    <w:p>
      <w:pPr>
        <w:pStyle w:val="Normal"/>
        <w:tabs>
          <w:tab w:val="clear" w:pos="708"/>
          <w:tab w:val="left" w:pos="1276" w:leader="none"/>
        </w:tabs>
        <w:ind w:left="1276" w:hanging="0"/>
        <w:jc w:val="both"/>
        <w:rPr>
          <w:rFonts w:ascii="Times New Roman" w:hAnsi="Times New Roman"/>
        </w:rPr>
      </w:pPr>
      <w:r>
        <w:rPr>
          <w:rFonts w:ascii="Times New Roman" w:hAnsi="Times New Roman"/>
        </w:rPr>
        <w:t xml:space="preserve">14.3.2.2. A suspensão, paralisação ou descumprimento das atividades estabelecidas nas cláusulas do instrumento contratual, sem justa causa e sem a prévia autorização por escrito da CONCEDENTE. </w:t>
      </w:r>
    </w:p>
    <w:p>
      <w:pPr>
        <w:pStyle w:val="Normal"/>
        <w:tabs>
          <w:tab w:val="clear" w:pos="708"/>
          <w:tab w:val="left" w:pos="1276" w:leader="none"/>
        </w:tabs>
        <w:ind w:left="1276" w:hanging="0"/>
        <w:jc w:val="both"/>
        <w:rPr>
          <w:rFonts w:ascii="Times New Roman" w:hAnsi="Times New Roman"/>
        </w:rPr>
      </w:pPr>
      <w:r>
        <w:rPr>
          <w:rFonts w:ascii="Times New Roman" w:hAnsi="Times New Roman"/>
        </w:rPr>
        <w:t>14.3.2.3. A incidência de irregularidade notificada pelo fiscal do contrato por mais de três vezes durante a execução do instrumento de concessão, na mesma incidência.</w:t>
      </w:r>
    </w:p>
    <w:p>
      <w:pPr>
        <w:pStyle w:val="Normal"/>
        <w:tabs>
          <w:tab w:val="clear" w:pos="708"/>
          <w:tab w:val="left" w:pos="1276" w:leader="none"/>
        </w:tabs>
        <w:ind w:left="1276" w:hanging="0"/>
        <w:jc w:val="both"/>
        <w:rPr>
          <w:rFonts w:ascii="Times New Roman" w:hAnsi="Times New Roman"/>
        </w:rPr>
      </w:pPr>
      <w:r>
        <w:rPr>
          <w:rFonts w:ascii="Times New Roman" w:hAnsi="Times New Roman"/>
        </w:rPr>
        <w:t>14.3.2.4. A interdição das instalações ou paralisação temporária dos serviços por conta da CONCESSIONÁRIA, ou em decorrência de auto de infração.</w:t>
      </w:r>
    </w:p>
    <w:p>
      <w:pPr>
        <w:pStyle w:val="Normal"/>
        <w:tabs>
          <w:tab w:val="clear" w:pos="708"/>
          <w:tab w:val="left" w:pos="1276" w:leader="none"/>
        </w:tabs>
        <w:ind w:left="1276" w:hanging="0"/>
        <w:jc w:val="both"/>
        <w:rPr>
          <w:rFonts w:ascii="Times New Roman" w:hAnsi="Times New Roman"/>
        </w:rPr>
      </w:pPr>
      <w:r>
        <w:rPr>
          <w:rFonts w:ascii="Times New Roman" w:hAnsi="Times New Roman"/>
        </w:rPr>
        <w:t>14.3.2.5. A ocorrência de qualquer dos motivos enumerados no art. 78 da Lei 8.666/93, independentemente de qualquer notificação judicial ou extrajudicial.</w:t>
      </w:r>
    </w:p>
    <w:p>
      <w:pPr>
        <w:pStyle w:val="Normal"/>
        <w:tabs>
          <w:tab w:val="clear" w:pos="708"/>
          <w:tab w:val="left" w:pos="0" w:leader="none"/>
        </w:tabs>
        <w:jc w:val="both"/>
        <w:rPr>
          <w:rFonts w:ascii="Times New Roman" w:hAnsi="Times New Roman"/>
        </w:rPr>
      </w:pPr>
      <w:r>
        <w:rPr>
          <w:rFonts w:ascii="Times New Roman" w:hAnsi="Times New Roman"/>
        </w:rPr>
        <w:t>14.4. Alterações de Contrato:</w:t>
      </w:r>
    </w:p>
    <w:p>
      <w:pPr>
        <w:pStyle w:val="Normal"/>
        <w:ind w:left="567" w:hanging="0"/>
        <w:jc w:val="both"/>
        <w:rPr>
          <w:rFonts w:ascii="Times New Roman" w:hAnsi="Times New Roman"/>
        </w:rPr>
      </w:pPr>
      <w:r>
        <w:rPr>
          <w:rFonts w:ascii="Times New Roman" w:hAnsi="Times New Roman"/>
        </w:rPr>
        <w:t>14.4.1. Os termos de contrato poderão ser alterados nos casos previstos no art. 65 da Lei 8.666/93, desde que haja interesse da contratante, com apresentação das devidas justificativas, sempre por meio de termos aditivos se for o caso.</w:t>
      </w:r>
    </w:p>
    <w:p>
      <w:pPr>
        <w:pStyle w:val="Normal"/>
        <w:ind w:left="567" w:hanging="0"/>
        <w:jc w:val="both"/>
        <w:rPr>
          <w:rFonts w:ascii="Times New Roman" w:hAnsi="Times New Roman"/>
        </w:rPr>
      </w:pPr>
      <w:r>
        <w:rPr>
          <w:rFonts w:ascii="Times New Roman" w:hAnsi="Times New Roman"/>
        </w:rPr>
      </w:r>
    </w:p>
    <w:p>
      <w:pPr>
        <w:pStyle w:val="Normal"/>
        <w:jc w:val="both"/>
        <w:rPr>
          <w:rFonts w:ascii="Times New Roman" w:hAnsi="Times New Roman"/>
          <w:b/>
          <w:b/>
        </w:rPr>
      </w:pPr>
      <w:r>
        <w:rPr>
          <w:rFonts w:ascii="Times New Roman" w:hAnsi="Times New Roman"/>
          <w:b/>
        </w:rPr>
        <w:t>15. GARANTIA DO CONTRATO</w:t>
      </w:r>
    </w:p>
    <w:p>
      <w:pPr>
        <w:pStyle w:val="ListParagraph"/>
        <w:numPr>
          <w:ilvl w:val="0"/>
          <w:numId w:val="2"/>
        </w:numPr>
        <w:spacing w:lineRule="auto" w:line="240" w:beforeAutospacing="1" w:after="119"/>
        <w:contextualSpacing/>
        <w:jc w:val="both"/>
        <w:rPr>
          <w:rFonts w:ascii="Times New Roman" w:hAnsi="Times New Roman" w:eastAsia="Times New Roman"/>
          <w:vanish/>
          <w:lang w:eastAsia="zh-CN"/>
        </w:rPr>
      </w:pPr>
      <w:r>
        <w:rPr>
          <w:rFonts w:eastAsia="Times New Roman" w:ascii="Times New Roman" w:hAnsi="Times New Roman"/>
          <w:vanish/>
          <w:lang w:eastAsia="zh-CN"/>
        </w:rPr>
      </w:r>
    </w:p>
    <w:p>
      <w:pPr>
        <w:pStyle w:val="ListParagraph"/>
        <w:numPr>
          <w:ilvl w:val="0"/>
          <w:numId w:val="2"/>
        </w:numPr>
        <w:spacing w:lineRule="auto" w:line="240" w:before="0" w:after="119"/>
        <w:contextualSpacing/>
        <w:jc w:val="both"/>
        <w:rPr>
          <w:rFonts w:ascii="Times New Roman" w:hAnsi="Times New Roman" w:eastAsia="Times New Roman"/>
          <w:vanish/>
          <w:lang w:eastAsia="zh-CN"/>
        </w:rPr>
      </w:pPr>
      <w:r>
        <w:rPr>
          <w:rFonts w:eastAsia="Times New Roman" w:ascii="Times New Roman" w:hAnsi="Times New Roman"/>
          <w:vanish/>
          <w:lang w:eastAsia="zh-CN"/>
        </w:rPr>
      </w:r>
    </w:p>
    <w:p>
      <w:pPr>
        <w:pStyle w:val="ListParagraph"/>
        <w:numPr>
          <w:ilvl w:val="0"/>
          <w:numId w:val="2"/>
        </w:numPr>
        <w:spacing w:lineRule="auto" w:line="240" w:before="0" w:after="119"/>
        <w:contextualSpacing/>
        <w:jc w:val="both"/>
        <w:rPr>
          <w:rFonts w:ascii="Times New Roman" w:hAnsi="Times New Roman" w:eastAsia="Times New Roman"/>
          <w:vanish/>
          <w:lang w:eastAsia="zh-CN"/>
        </w:rPr>
      </w:pPr>
      <w:r>
        <w:rPr>
          <w:rFonts w:eastAsia="Times New Roman" w:ascii="Times New Roman" w:hAnsi="Times New Roman"/>
          <w:vanish/>
          <w:lang w:eastAsia="zh-CN"/>
        </w:rPr>
      </w:r>
    </w:p>
    <w:p>
      <w:pPr>
        <w:pStyle w:val="ListParagraph"/>
        <w:numPr>
          <w:ilvl w:val="0"/>
          <w:numId w:val="2"/>
        </w:numPr>
        <w:spacing w:lineRule="auto" w:line="240" w:before="0" w:after="119"/>
        <w:contextualSpacing/>
        <w:jc w:val="both"/>
        <w:rPr>
          <w:rFonts w:ascii="Times New Roman" w:hAnsi="Times New Roman" w:eastAsia="Times New Roman"/>
          <w:vanish/>
          <w:lang w:eastAsia="zh-CN"/>
        </w:rPr>
      </w:pPr>
      <w:r>
        <w:rPr>
          <w:rFonts w:eastAsia="Times New Roman" w:ascii="Times New Roman" w:hAnsi="Times New Roman"/>
          <w:vanish/>
          <w:lang w:eastAsia="zh-CN"/>
        </w:rPr>
      </w:r>
    </w:p>
    <w:p>
      <w:pPr>
        <w:pStyle w:val="ListParagraph"/>
        <w:numPr>
          <w:ilvl w:val="0"/>
          <w:numId w:val="2"/>
        </w:numPr>
        <w:spacing w:lineRule="auto" w:line="240" w:before="0" w:after="119"/>
        <w:contextualSpacing/>
        <w:jc w:val="both"/>
        <w:rPr>
          <w:rFonts w:ascii="Times New Roman" w:hAnsi="Times New Roman" w:eastAsia="Times New Roman"/>
          <w:vanish/>
          <w:lang w:eastAsia="zh-CN"/>
        </w:rPr>
      </w:pPr>
      <w:r>
        <w:rPr>
          <w:rFonts w:eastAsia="Times New Roman" w:ascii="Times New Roman" w:hAnsi="Times New Roman"/>
          <w:vanish/>
          <w:lang w:eastAsia="zh-CN"/>
        </w:rPr>
      </w:r>
    </w:p>
    <w:p>
      <w:pPr>
        <w:pStyle w:val="ListParagraph"/>
        <w:numPr>
          <w:ilvl w:val="0"/>
          <w:numId w:val="2"/>
        </w:numPr>
        <w:spacing w:lineRule="auto" w:line="240" w:before="0" w:after="119"/>
        <w:contextualSpacing/>
        <w:jc w:val="both"/>
        <w:rPr>
          <w:rFonts w:ascii="Times New Roman" w:hAnsi="Times New Roman" w:eastAsia="Times New Roman"/>
          <w:vanish/>
          <w:lang w:eastAsia="zh-CN"/>
        </w:rPr>
      </w:pPr>
      <w:r>
        <w:rPr>
          <w:rFonts w:eastAsia="Times New Roman" w:ascii="Times New Roman" w:hAnsi="Times New Roman"/>
          <w:vanish/>
          <w:lang w:eastAsia="zh-CN"/>
        </w:rPr>
      </w:r>
    </w:p>
    <w:p>
      <w:pPr>
        <w:pStyle w:val="ListParagraph"/>
        <w:numPr>
          <w:ilvl w:val="0"/>
          <w:numId w:val="2"/>
        </w:numPr>
        <w:spacing w:lineRule="auto" w:line="240" w:before="0" w:after="119"/>
        <w:contextualSpacing/>
        <w:jc w:val="both"/>
        <w:rPr>
          <w:rFonts w:ascii="Times New Roman" w:hAnsi="Times New Roman" w:eastAsia="Times New Roman"/>
          <w:vanish/>
          <w:lang w:eastAsia="zh-CN"/>
        </w:rPr>
      </w:pPr>
      <w:r>
        <w:rPr>
          <w:rFonts w:eastAsia="Times New Roman" w:ascii="Times New Roman" w:hAnsi="Times New Roman"/>
          <w:vanish/>
          <w:lang w:eastAsia="zh-CN"/>
        </w:rPr>
      </w:r>
    </w:p>
    <w:p>
      <w:pPr>
        <w:pStyle w:val="ListParagraph"/>
        <w:numPr>
          <w:ilvl w:val="0"/>
          <w:numId w:val="2"/>
        </w:numPr>
        <w:spacing w:lineRule="auto" w:line="240" w:before="0" w:after="119"/>
        <w:contextualSpacing/>
        <w:jc w:val="both"/>
        <w:rPr>
          <w:rFonts w:ascii="Times New Roman" w:hAnsi="Times New Roman" w:eastAsia="Times New Roman"/>
          <w:vanish/>
          <w:lang w:eastAsia="zh-CN"/>
        </w:rPr>
      </w:pPr>
      <w:r>
        <w:rPr>
          <w:rFonts w:eastAsia="Times New Roman" w:ascii="Times New Roman" w:hAnsi="Times New Roman"/>
          <w:vanish/>
          <w:lang w:eastAsia="zh-CN"/>
        </w:rPr>
      </w:r>
    </w:p>
    <w:p>
      <w:pPr>
        <w:pStyle w:val="ListParagraph"/>
        <w:numPr>
          <w:ilvl w:val="0"/>
          <w:numId w:val="2"/>
        </w:numPr>
        <w:spacing w:lineRule="auto" w:line="240" w:before="0" w:after="119"/>
        <w:contextualSpacing/>
        <w:jc w:val="both"/>
        <w:rPr>
          <w:rFonts w:ascii="Times New Roman" w:hAnsi="Times New Roman" w:eastAsia="Times New Roman"/>
          <w:vanish/>
          <w:lang w:eastAsia="zh-CN"/>
        </w:rPr>
      </w:pPr>
      <w:r>
        <w:rPr>
          <w:rFonts w:eastAsia="Times New Roman" w:ascii="Times New Roman" w:hAnsi="Times New Roman"/>
          <w:vanish/>
          <w:lang w:eastAsia="zh-CN"/>
        </w:rPr>
      </w:r>
    </w:p>
    <w:p>
      <w:pPr>
        <w:pStyle w:val="Normal"/>
        <w:ind w:left="360" w:hanging="0"/>
        <w:jc w:val="both"/>
        <w:rPr>
          <w:rFonts w:ascii="Times New Roman" w:hAnsi="Times New Roman"/>
        </w:rPr>
      </w:pPr>
      <w:r>
        <w:rPr>
          <w:rFonts w:ascii="Times New Roman" w:hAnsi="Times New Roman"/>
        </w:rPr>
        <w:t>15.1. A CONCESSIONÁRIA deverá prestar garantia para assegurar o fiel cumprimento das obrigações assumidas, no percentual de 5% do valor contratado, apresentando à CONCEDENTE, até cinco dias úteis após a assinatura do contrato, comprovante de uma das modalidades de garantia prevista no art. 56 da Lei 8.666/93.</w:t>
      </w:r>
    </w:p>
    <w:p>
      <w:pPr>
        <w:pStyle w:val="Normal"/>
        <w:spacing w:before="120" w:after="120"/>
        <w:ind w:left="927" w:hanging="0"/>
        <w:jc w:val="both"/>
        <w:rPr>
          <w:rFonts w:ascii="Times New Roman" w:hAnsi="Times New Roman"/>
        </w:rPr>
      </w:pPr>
      <w:r>
        <w:rPr>
          <w:rFonts w:ascii="Times New Roman" w:hAnsi="Times New Roman"/>
        </w:rPr>
        <w:t>a) Caso o valor total do contrato não ultrapasse o valor correspondente ao limite para dispensa de licitação conforme Inciso II do Art. 24 da Lei 8.666/93, é facultado ao gestor/fiscal do contrato a dispensa da exigência da garantia disposta no item 15.1.</w:t>
      </w:r>
    </w:p>
    <w:p>
      <w:pPr>
        <w:pStyle w:val="Normal"/>
        <w:ind w:left="360" w:hanging="0"/>
        <w:jc w:val="both"/>
        <w:rPr>
          <w:rFonts w:ascii="Times New Roman" w:hAnsi="Times New Roman"/>
        </w:rPr>
      </w:pPr>
      <w:r>
        <w:rPr>
          <w:rFonts w:ascii="Times New Roman" w:hAnsi="Times New Roman"/>
        </w:rPr>
        <w:t>15.2. O valor da garantia deverá ser reforçado pela CONCESSIONÁRIA, proporcionalmente a 5% do valor adicional da contraprestação, sempre que o valor for reajustado em termo aditivo.</w:t>
      </w:r>
    </w:p>
    <w:p>
      <w:pPr>
        <w:pStyle w:val="Normal"/>
        <w:ind w:left="360" w:hanging="0"/>
        <w:jc w:val="both"/>
        <w:rPr>
          <w:rFonts w:ascii="Times New Roman" w:hAnsi="Times New Roman"/>
        </w:rPr>
      </w:pPr>
      <w:r>
        <w:rPr>
          <w:rFonts w:ascii="Times New Roman" w:hAnsi="Times New Roman"/>
        </w:rPr>
        <w:t>15.3. O valor da garantia será liberado pela CONCEDENTE, no prazo de 30 dias, a partir do término do contrato, se cumpridas todas as obrigações devidas pela CONCESSIONÁRIA, inclusive recolhimento de multas e satisfação de prejuízos que tenham sido causados à CONCEDENTE na execução do objeto do contrato, respeitando-se o disposto sobre o assunto no Decreto-lei 1.737/79, que disciplina os depósitos de interesse da administração pública efetuados na Caixa Econômica Federal, e no artigo 82 do Decreto 93.872/86.</w:t>
      </w:r>
    </w:p>
    <w:p>
      <w:pPr>
        <w:pStyle w:val="Normal"/>
        <w:suppressAutoHyphens w:val="false"/>
        <w:spacing w:before="0" w:after="119"/>
        <w:ind w:left="360" w:hanging="0"/>
        <w:jc w:val="both"/>
        <w:rPr>
          <w:rFonts w:ascii="Times New Roman" w:hAnsi="Times New Roman"/>
          <w:b/>
          <w:b/>
        </w:rPr>
      </w:pPr>
      <w:r>
        <w:rPr>
          <w:rFonts w:ascii="Times New Roman" w:hAnsi="Times New Roman"/>
          <w:b/>
        </w:rPr>
      </w:r>
    </w:p>
    <w:p>
      <w:pPr>
        <w:pStyle w:val="Normal"/>
        <w:jc w:val="both"/>
        <w:rPr>
          <w:rFonts w:ascii="Times New Roman" w:hAnsi="Times New Roman"/>
          <w:b/>
          <w:b/>
        </w:rPr>
      </w:pPr>
      <w:r>
        <w:rPr>
          <w:rFonts w:ascii="Times New Roman" w:hAnsi="Times New Roman"/>
          <w:b/>
        </w:rPr>
        <w:t>16. INFRAÇÕES E SANÇÕES ADMINISTRATIVAS</w:t>
      </w:r>
    </w:p>
    <w:p>
      <w:pPr>
        <w:pStyle w:val="Normal"/>
        <w:jc w:val="both"/>
        <w:rPr>
          <w:rFonts w:ascii="Times New Roman" w:hAnsi="Times New Roman"/>
        </w:rPr>
      </w:pPr>
      <w:r>
        <w:rPr>
          <w:rFonts w:ascii="Times New Roman" w:hAnsi="Times New Roman"/>
        </w:rPr>
        <w:t xml:space="preserve">16.1. </w:t>
      </w:r>
      <w:r>
        <w:rPr>
          <w:rFonts w:eastAsia="Times New Roman" w:ascii="Times New Roman" w:hAnsi="Times New Roman"/>
          <w:sz w:val="24"/>
          <w:szCs w:val="24"/>
          <w:lang w:eastAsia="pt-BR"/>
        </w:rPr>
        <w:t xml:space="preserve">Pela inexecução total ou parcial do contrato a Administração poderá, garantida a prévia defesa, aplicar à CONCESSIONÁRIA as </w:t>
      </w:r>
      <w:r>
        <w:rPr>
          <w:rFonts w:ascii="Times New Roman" w:hAnsi="Times New Roman"/>
          <w:sz w:val="24"/>
          <w:szCs w:val="24"/>
        </w:rPr>
        <w:t>sanções previstas em Edital.</w:t>
      </w:r>
    </w:p>
    <w:p>
      <w:pPr>
        <w:pStyle w:val="Normal"/>
        <w:rPr>
          <w:rFonts w:ascii="Times New Roman" w:hAnsi="Times New Roman"/>
          <w:b/>
          <w:b/>
        </w:rPr>
      </w:pPr>
      <w:r>
        <w:rPr>
          <w:rFonts w:ascii="Times New Roman" w:hAnsi="Times New Roman"/>
          <w:b/>
        </w:rPr>
        <w:t>17. Equipe de Apoio</w:t>
      </w:r>
    </w:p>
    <w:p>
      <w:pPr>
        <w:pStyle w:val="Normal"/>
        <w:spacing w:before="0" w:after="0"/>
        <w:ind w:left="-6" w:right="-17" w:hanging="0"/>
        <w:jc w:val="both"/>
        <w:rPr>
          <w:rFonts w:ascii="Times New Roman" w:hAnsi="Times New Roman"/>
        </w:rPr>
      </w:pPr>
      <w:r>
        <w:rPr>
          <w:rFonts w:ascii="Times New Roman" w:hAnsi="Times New Roman"/>
        </w:rPr>
        <w:t>17.1. Membros Titulares:</w:t>
      </w:r>
    </w:p>
    <w:p>
      <w:pPr>
        <w:pStyle w:val="Normal"/>
        <w:spacing w:before="0" w:after="0"/>
        <w:ind w:left="-6" w:right="-17" w:hanging="0"/>
        <w:jc w:val="both"/>
        <w:rPr>
          <w:rFonts w:ascii="Times New Roman" w:hAnsi="Times New Roman"/>
        </w:rPr>
      </w:pPr>
      <w:r>
        <w:rPr>
          <w:rFonts w:ascii="Times New Roman" w:hAnsi="Times New Roman"/>
        </w:rPr>
      </w:r>
    </w:p>
    <w:p>
      <w:pPr>
        <w:pStyle w:val="Standard"/>
        <w:spacing w:before="0" w:after="0"/>
        <w:ind w:left="-6" w:right="-17" w:hanging="0"/>
        <w:jc w:val="both"/>
        <w:rPr>
          <w:rFonts w:ascii="Times New Roman" w:hAnsi="Times New Roman" w:cs="Times New Roman"/>
        </w:rPr>
      </w:pPr>
      <w:r>
        <w:rPr>
          <w:rFonts w:cs="Times New Roman" w:ascii="Times New Roman" w:hAnsi="Times New Roman"/>
        </w:rPr>
      </w:r>
    </w:p>
    <w:tbl>
      <w:tblPr>
        <w:tblW w:w="13080" w:type="dxa"/>
        <w:jc w:val="left"/>
        <w:tblInd w:w="-10" w:type="dxa"/>
        <w:tblCellMar>
          <w:top w:w="0" w:type="dxa"/>
          <w:left w:w="108" w:type="dxa"/>
          <w:bottom w:w="0" w:type="dxa"/>
          <w:right w:w="108" w:type="dxa"/>
        </w:tblCellMar>
        <w:tblLook w:firstRow="1" w:noVBand="1" w:lastRow="0" w:firstColumn="1" w:lastColumn="0" w:noHBand="0" w:val="04a0"/>
      </w:tblPr>
      <w:tblGrid>
        <w:gridCol w:w="4360"/>
        <w:gridCol w:w="4360"/>
        <w:gridCol w:w="4360"/>
      </w:tblGrid>
      <w:tr>
        <w:trPr/>
        <w:tc>
          <w:tcPr>
            <w:tcW w:w="4360" w:type="dxa"/>
            <w:tcBorders/>
            <w:shd w:color="auto" w:fill="auto" w:val="clear"/>
          </w:tcPr>
          <w:p>
            <w:pPr>
              <w:pStyle w:val="Standard"/>
              <w:spacing w:lineRule="auto" w:line="240" w:before="0" w:after="0"/>
              <w:jc w:val="both"/>
              <w:rPr>
                <w:sz w:val="20"/>
                <w:szCs w:val="20"/>
              </w:rPr>
            </w:pPr>
            <w:r>
              <w:rPr>
                <w:rFonts w:eastAsia="MS Mincho" w:cs="Times New Roman" w:ascii="Times New Roman" w:hAnsi="Times New Roman"/>
                <w:bCs/>
                <w:sz w:val="20"/>
                <w:szCs w:val="20"/>
                <w:lang w:eastAsia="ja-JP"/>
              </w:rPr>
              <w:t>_____________________________</w:t>
            </w:r>
          </w:p>
          <w:p>
            <w:pPr>
              <w:pStyle w:val="Standard"/>
              <w:spacing w:lineRule="auto" w:line="240" w:before="0" w:after="0"/>
              <w:jc w:val="both"/>
              <w:rPr>
                <w:sz w:val="20"/>
                <w:szCs w:val="20"/>
              </w:rPr>
            </w:pPr>
            <w:r>
              <w:rPr>
                <w:rFonts w:eastAsia="MS Mincho" w:cs="Times New Roman" w:ascii="Times New Roman" w:hAnsi="Times New Roman"/>
                <w:bCs/>
                <w:sz w:val="20"/>
                <w:szCs w:val="20"/>
                <w:lang w:eastAsia="ja-JP"/>
              </w:rPr>
              <w:t xml:space="preserve">Nome: </w:t>
            </w:r>
          </w:p>
          <w:p>
            <w:pPr>
              <w:pStyle w:val="Standard"/>
              <w:spacing w:lineRule="auto" w:line="240" w:before="0" w:after="0"/>
              <w:jc w:val="both"/>
              <w:rPr>
                <w:sz w:val="20"/>
                <w:szCs w:val="20"/>
              </w:rPr>
            </w:pPr>
            <w:r>
              <w:rPr>
                <w:rFonts w:eastAsia="MS Mincho" w:cs="Times New Roman" w:ascii="Times New Roman" w:hAnsi="Times New Roman"/>
                <w:bCs/>
                <w:sz w:val="20"/>
                <w:szCs w:val="20"/>
                <w:lang w:eastAsia="ja-JP"/>
              </w:rPr>
              <w:t xml:space="preserve">CPF: </w:t>
            </w:r>
            <w:r>
              <w:rPr>
                <w:rFonts w:eastAsia="MS Mincho;ＭＳ 明朝" w:cs="Times New Roman" w:ascii="Times New Roman" w:hAnsi="Times New Roman"/>
                <w:bCs/>
                <w:sz w:val="20"/>
                <w:szCs w:val="20"/>
                <w:lang w:eastAsia="ja-JP"/>
              </w:rPr>
              <w:t xml:space="preserve"> </w:t>
            </w:r>
          </w:p>
          <w:p>
            <w:pPr>
              <w:pStyle w:val="Standard"/>
              <w:spacing w:lineRule="auto" w:line="240" w:before="0" w:after="0"/>
              <w:jc w:val="both"/>
              <w:rPr>
                <w:sz w:val="20"/>
                <w:szCs w:val="20"/>
              </w:rPr>
            </w:pPr>
            <w:r>
              <w:rPr>
                <w:rFonts w:eastAsia="MS Mincho" w:ascii="Times New Roman" w:hAnsi="Times New Roman"/>
                <w:bCs/>
                <w:sz w:val="20"/>
                <w:szCs w:val="20"/>
                <w:lang w:eastAsia="ja-JP"/>
              </w:rPr>
              <w:t xml:space="preserve">SIAPE: </w:t>
            </w:r>
          </w:p>
        </w:tc>
        <w:tc>
          <w:tcPr>
            <w:tcW w:w="4360" w:type="dxa"/>
            <w:tcBorders/>
            <w:shd w:color="auto" w:fill="auto" w:val="clear"/>
          </w:tcPr>
          <w:p>
            <w:pPr>
              <w:pStyle w:val="Standard"/>
              <w:spacing w:lineRule="auto" w:line="240" w:before="0" w:after="0"/>
              <w:jc w:val="both"/>
              <w:rPr>
                <w:sz w:val="20"/>
                <w:szCs w:val="20"/>
              </w:rPr>
            </w:pPr>
            <w:r>
              <w:rPr>
                <w:rFonts w:eastAsia="MS Mincho" w:cs="Times New Roman" w:ascii="Times New Roman" w:hAnsi="Times New Roman"/>
                <w:bCs/>
                <w:sz w:val="20"/>
                <w:szCs w:val="20"/>
                <w:lang w:eastAsia="ja-JP"/>
              </w:rPr>
              <w:t xml:space="preserve">    </w:t>
            </w:r>
            <w:r>
              <w:rPr>
                <w:rFonts w:eastAsia="MS Mincho" w:cs="Times New Roman" w:ascii="Times New Roman" w:hAnsi="Times New Roman"/>
                <w:bCs/>
                <w:sz w:val="20"/>
                <w:szCs w:val="20"/>
                <w:lang w:eastAsia="ja-JP"/>
              </w:rPr>
              <w:t>_____________________________</w:t>
            </w:r>
          </w:p>
          <w:p>
            <w:pPr>
              <w:pStyle w:val="Normal"/>
              <w:spacing w:lineRule="auto" w:line="240" w:before="0" w:after="0"/>
              <w:jc w:val="both"/>
              <w:rPr>
                <w:sz w:val="20"/>
                <w:szCs w:val="20"/>
              </w:rPr>
            </w:pPr>
            <w:r>
              <w:rPr>
                <w:rFonts w:eastAsia="MS Mincho" w:ascii="Times New Roman" w:hAnsi="Times New Roman"/>
                <w:bCs/>
                <w:sz w:val="20"/>
                <w:szCs w:val="20"/>
                <w:lang w:eastAsia="ja-JP"/>
              </w:rPr>
              <w:t xml:space="preserve">Nome: </w:t>
            </w:r>
          </w:p>
          <w:p>
            <w:pPr>
              <w:pStyle w:val="Normal"/>
              <w:spacing w:lineRule="auto" w:line="240" w:before="0" w:after="0"/>
              <w:jc w:val="both"/>
              <w:rPr>
                <w:sz w:val="20"/>
                <w:szCs w:val="20"/>
              </w:rPr>
            </w:pPr>
            <w:r>
              <w:rPr>
                <w:rFonts w:eastAsia="MS Mincho" w:ascii="Times New Roman" w:hAnsi="Times New Roman"/>
                <w:bCs/>
                <w:sz w:val="20"/>
                <w:szCs w:val="20"/>
                <w:lang w:eastAsia="ja-JP"/>
              </w:rPr>
              <w:t xml:space="preserve">CPF: </w:t>
            </w:r>
          </w:p>
          <w:p>
            <w:pPr>
              <w:pStyle w:val="Normal"/>
              <w:spacing w:lineRule="auto" w:line="240" w:before="0" w:after="0"/>
              <w:jc w:val="both"/>
              <w:rPr>
                <w:sz w:val="20"/>
                <w:szCs w:val="20"/>
              </w:rPr>
            </w:pPr>
            <w:r>
              <w:rPr>
                <w:rFonts w:eastAsia="MS Mincho" w:ascii="Times New Roman" w:hAnsi="Times New Roman"/>
                <w:bCs/>
                <w:sz w:val="20"/>
                <w:szCs w:val="20"/>
                <w:lang w:eastAsia="ja-JP"/>
              </w:rPr>
              <w:t xml:space="preserve">SIAPE: </w:t>
            </w:r>
          </w:p>
          <w:p>
            <w:pPr>
              <w:pStyle w:val="Standard"/>
              <w:spacing w:lineRule="auto" w:line="240" w:before="0" w:after="0"/>
              <w:jc w:val="both"/>
              <w:rPr>
                <w:rFonts w:ascii="Times New Roman" w:hAnsi="Times New Roman" w:eastAsia="MS Mincho"/>
                <w:bCs/>
                <w:sz w:val="20"/>
                <w:szCs w:val="20"/>
                <w:highlight w:val="yellow"/>
                <w:u w:val="single"/>
                <w:lang w:eastAsia="ja-JP"/>
              </w:rPr>
            </w:pPr>
            <w:r>
              <w:rPr>
                <w:rFonts w:eastAsia="MS Mincho" w:ascii="Times New Roman" w:hAnsi="Times New Roman"/>
                <w:bCs/>
                <w:sz w:val="20"/>
                <w:szCs w:val="20"/>
                <w:highlight w:val="yellow"/>
                <w:u w:val="single"/>
                <w:lang w:eastAsia="ja-JP"/>
              </w:rPr>
            </w:r>
          </w:p>
        </w:tc>
        <w:tc>
          <w:tcPr>
            <w:tcW w:w="4360" w:type="dxa"/>
            <w:tcBorders/>
            <w:shd w:color="auto" w:fill="auto" w:val="clear"/>
          </w:tcPr>
          <w:p>
            <w:pPr>
              <w:pStyle w:val="Standard"/>
              <w:spacing w:lineRule="auto" w:line="240" w:before="0" w:after="0"/>
              <w:jc w:val="both"/>
              <w:rPr>
                <w:rFonts w:ascii="Times New Roman" w:hAnsi="Times New Roman" w:eastAsia="MS Mincho"/>
                <w:bCs/>
                <w:szCs w:val="20"/>
                <w:highlight w:val="yellow"/>
                <w:u w:val="single"/>
                <w:lang w:eastAsia="ja-JP"/>
              </w:rPr>
            </w:pPr>
            <w:r>
              <w:rPr>
                <w:rFonts w:eastAsia="MS Mincho" w:ascii="Times New Roman" w:hAnsi="Times New Roman"/>
                <w:bCs/>
                <w:szCs w:val="20"/>
                <w:highlight w:val="yellow"/>
                <w:u w:val="single"/>
                <w:lang w:eastAsia="ja-JP"/>
              </w:rPr>
            </w:r>
          </w:p>
        </w:tc>
      </w:tr>
      <w:tr>
        <w:trPr/>
        <w:tc>
          <w:tcPr>
            <w:tcW w:w="4360" w:type="dxa"/>
            <w:tcBorders/>
            <w:shd w:color="auto" w:fill="auto" w:val="clear"/>
          </w:tcPr>
          <w:p>
            <w:pPr>
              <w:pStyle w:val="Standard"/>
              <w:spacing w:lineRule="auto" w:line="240" w:before="0" w:after="0"/>
              <w:jc w:val="both"/>
              <w:rPr>
                <w:rFonts w:ascii="Times New Roman" w:hAnsi="Times New Roman" w:eastAsia="MS Mincho"/>
                <w:bCs/>
                <w:szCs w:val="20"/>
                <w:lang w:eastAsia="ja-JP"/>
              </w:rPr>
            </w:pPr>
            <w:r>
              <w:rPr>
                <w:rFonts w:eastAsia="MS Mincho" w:ascii="Times New Roman" w:hAnsi="Times New Roman"/>
                <w:bCs/>
                <w:szCs w:val="20"/>
                <w:lang w:eastAsia="ja-JP"/>
              </w:rPr>
            </w:r>
          </w:p>
        </w:tc>
        <w:tc>
          <w:tcPr>
            <w:tcW w:w="4360" w:type="dxa"/>
            <w:tcBorders/>
            <w:shd w:color="auto" w:fill="auto" w:val="clear"/>
          </w:tcPr>
          <w:p>
            <w:pPr>
              <w:pStyle w:val="Standard"/>
              <w:spacing w:lineRule="auto" w:line="240" w:before="0" w:after="0"/>
              <w:jc w:val="both"/>
              <w:rPr>
                <w:rFonts w:ascii="Times New Roman" w:hAnsi="Times New Roman" w:eastAsia="MS Mincho"/>
                <w:bCs/>
                <w:szCs w:val="20"/>
                <w:lang w:eastAsia="ja-JP"/>
              </w:rPr>
            </w:pPr>
            <w:r>
              <w:rPr>
                <w:rFonts w:eastAsia="MS Mincho" w:ascii="Times New Roman" w:hAnsi="Times New Roman"/>
                <w:bCs/>
                <w:szCs w:val="20"/>
                <w:lang w:eastAsia="ja-JP"/>
              </w:rPr>
            </w:r>
          </w:p>
        </w:tc>
        <w:tc>
          <w:tcPr>
            <w:tcW w:w="4360" w:type="dxa"/>
            <w:tcBorders/>
            <w:shd w:color="auto" w:fill="auto" w:val="clear"/>
          </w:tcPr>
          <w:p>
            <w:pPr>
              <w:pStyle w:val="Standard"/>
              <w:spacing w:lineRule="auto" w:line="240" w:before="0" w:after="0"/>
              <w:jc w:val="both"/>
              <w:rPr>
                <w:rFonts w:ascii="Times New Roman" w:hAnsi="Times New Roman" w:eastAsia="MS Mincho"/>
                <w:bCs/>
                <w:szCs w:val="20"/>
                <w:lang w:eastAsia="ja-JP"/>
              </w:rPr>
            </w:pPr>
            <w:r>
              <w:rPr>
                <w:rFonts w:eastAsia="MS Mincho" w:ascii="Times New Roman" w:hAnsi="Times New Roman"/>
                <w:bCs/>
                <w:szCs w:val="20"/>
                <w:lang w:eastAsia="ja-JP"/>
              </w:rPr>
            </w:r>
          </w:p>
        </w:tc>
      </w:tr>
    </w:tbl>
    <w:p>
      <w:pPr>
        <w:pStyle w:val="Standard"/>
        <w:tabs>
          <w:tab w:val="clear" w:pos="708"/>
          <w:tab w:val="left" w:pos="0" w:leader="none"/>
        </w:tabs>
        <w:jc w:val="both"/>
        <w:rPr>
          <w:rFonts w:ascii="Times New Roman" w:hAnsi="Times New Roman"/>
          <w:b/>
          <w:b/>
        </w:rPr>
      </w:pPr>
      <w:r>
        <w:rPr>
          <w:rFonts w:ascii="Times New Roman" w:hAnsi="Times New Roman"/>
          <w:b/>
        </w:rPr>
      </w:r>
    </w:p>
    <w:p>
      <w:pPr>
        <w:pStyle w:val="Normal"/>
        <w:tabs>
          <w:tab w:val="clear" w:pos="708"/>
          <w:tab w:val="left" w:pos="0" w:leader="none"/>
        </w:tabs>
        <w:jc w:val="both"/>
        <w:rPr>
          <w:rFonts w:ascii="Times New Roman" w:hAnsi="Times New Roman"/>
          <w:b/>
          <w:b/>
        </w:rPr>
      </w:pPr>
      <w:r>
        <w:rPr>
          <w:rFonts w:ascii="Times New Roman" w:hAnsi="Times New Roman"/>
          <w:b/>
        </w:rPr>
      </w:r>
    </w:p>
    <w:p>
      <w:pPr>
        <w:pStyle w:val="Normal"/>
        <w:tabs>
          <w:tab w:val="clear" w:pos="708"/>
          <w:tab w:val="left" w:pos="0" w:leader="none"/>
        </w:tabs>
        <w:jc w:val="both"/>
        <w:rPr>
          <w:rFonts w:ascii="Times New Roman" w:hAnsi="Times New Roman"/>
          <w:b/>
          <w:b/>
        </w:rPr>
      </w:pPr>
      <w:r>
        <w:rPr>
          <w:rFonts w:ascii="Times New Roman" w:hAnsi="Times New Roman"/>
          <w:b/>
        </w:rPr>
        <w:t>18. Anexos</w:t>
      </w:r>
    </w:p>
    <w:p>
      <w:pPr>
        <w:pStyle w:val="Normal"/>
        <w:tabs>
          <w:tab w:val="clear" w:pos="708"/>
          <w:tab w:val="left" w:pos="0" w:leader="none"/>
        </w:tabs>
        <w:jc w:val="both"/>
        <w:rPr>
          <w:rFonts w:ascii="Times New Roman" w:hAnsi="Times New Roman"/>
        </w:rPr>
      </w:pPr>
      <w:r>
        <w:rPr>
          <w:rFonts w:ascii="Times New Roman" w:hAnsi="Times New Roman"/>
        </w:rPr>
        <w:t>18.1. ANEXO II – Tabela de Multas</w:t>
      </w:r>
    </w:p>
    <w:p>
      <w:pPr>
        <w:pStyle w:val="Normal"/>
        <w:rPr>
          <w:rFonts w:ascii="Times New Roman" w:hAnsi="Times New Roman"/>
        </w:rPr>
      </w:pPr>
      <w:r>
        <w:rPr>
          <w:rFonts w:ascii="Times New Roman" w:hAnsi="Times New Roman"/>
        </w:rPr>
        <w:t>18.2. ANEXO III – Planta Baixa</w:t>
      </w:r>
    </w:p>
    <w:p>
      <w:pPr>
        <w:pStyle w:val="Normal"/>
        <w:tabs>
          <w:tab w:val="clear" w:pos="708"/>
          <w:tab w:val="left" w:pos="0" w:leader="none"/>
        </w:tabs>
        <w:rPr>
          <w:rFonts w:ascii="Times New Roman" w:hAnsi="Times New Roman"/>
        </w:rPr>
      </w:pPr>
      <w:r>
        <w:rPr>
          <w:rFonts w:ascii="Times New Roman" w:hAnsi="Times New Roman"/>
        </w:rPr>
        <w:t>18.3 ANEXO IV – Modelo de Declaração de Visita Técnica</w:t>
      </w:r>
    </w:p>
    <w:p>
      <w:pPr>
        <w:pStyle w:val="Normal"/>
        <w:tabs>
          <w:tab w:val="clear" w:pos="708"/>
          <w:tab w:val="left" w:pos="3119" w:leader="none"/>
        </w:tabs>
        <w:rPr>
          <w:rFonts w:ascii="Times New Roman" w:hAnsi="Times New Roman"/>
        </w:rPr>
      </w:pPr>
      <w:r>
        <w:rPr>
          <w:rFonts w:ascii="Times New Roman" w:hAnsi="Times New Roman"/>
        </w:rPr>
        <w:t>18.4 ANEXO V – Modelo de Declaração de Não Visita</w:t>
      </w:r>
      <w:r>
        <w:br w:type="page"/>
      </w:r>
    </w:p>
    <w:p>
      <w:pPr>
        <w:pStyle w:val="Normal"/>
        <w:tabs>
          <w:tab w:val="clear" w:pos="708"/>
          <w:tab w:val="left" w:pos="3119" w:leader="none"/>
        </w:tabs>
        <w:jc w:val="center"/>
        <w:rPr>
          <w:rFonts w:ascii="Times New Roman" w:hAnsi="Times New Roman"/>
          <w:b/>
          <w:b/>
          <w:bCs/>
        </w:rPr>
      </w:pPr>
      <w:r>
        <w:rPr>
          <w:rFonts w:ascii="Times New Roman" w:hAnsi="Times New Roman"/>
          <w:b/>
          <w:bCs/>
        </w:rPr>
        <w:t>ANEXO II</w:t>
      </w:r>
    </w:p>
    <w:p>
      <w:pPr>
        <w:pStyle w:val="Normal"/>
        <w:jc w:val="center"/>
        <w:rPr>
          <w:rFonts w:ascii="Times New Roman" w:hAnsi="Times New Roman"/>
          <w:b/>
          <w:b/>
        </w:rPr>
      </w:pPr>
      <w:r>
        <w:rPr>
          <w:rFonts w:ascii="Times New Roman" w:hAnsi="Times New Roman"/>
          <w:b/>
        </w:rPr>
        <w:t>TABELA DE MULTAS</w:t>
      </w:r>
    </w:p>
    <w:p>
      <w:pPr>
        <w:pStyle w:val="Normal"/>
        <w:jc w:val="both"/>
        <w:rPr>
          <w:rFonts w:ascii="Times New Roman" w:hAnsi="Times New Roman"/>
        </w:rPr>
      </w:pPr>
      <w:r>
        <w:rPr>
          <w:rFonts w:ascii="Times New Roman" w:hAnsi="Times New Roman"/>
        </w:rPr>
        <w:t>1. Pela inexecução total ou parcial do presente termo, a CONCEDENTE poderá, garantida a prévia defesa, aplicar à CONCESSIONÁRIA as seguintes sanções:</w:t>
      </w:r>
    </w:p>
    <w:tbl>
      <w:tblPr>
        <w:tblStyle w:val="Tabelacomgrade"/>
        <w:tblW w:w="8756" w:type="dxa"/>
        <w:jc w:val="left"/>
        <w:tblInd w:w="0" w:type="dxa"/>
        <w:tblCellMar>
          <w:top w:w="0" w:type="dxa"/>
          <w:left w:w="108" w:type="dxa"/>
          <w:bottom w:w="0" w:type="dxa"/>
          <w:right w:w="108" w:type="dxa"/>
        </w:tblCellMar>
        <w:tblLook w:firstRow="1" w:noVBand="1" w:lastRow="0" w:firstColumn="1" w:lastColumn="0" w:noHBand="0" w:val="04a0"/>
      </w:tblPr>
      <w:tblGrid>
        <w:gridCol w:w="1126"/>
        <w:gridCol w:w="6712"/>
        <w:gridCol w:w="918"/>
      </w:tblGrid>
      <w:tr>
        <w:trPr/>
        <w:tc>
          <w:tcPr>
            <w:tcW w:w="7838" w:type="dxa"/>
            <w:gridSpan w:val="2"/>
            <w:tcBorders/>
          </w:tcPr>
          <w:p>
            <w:pPr>
              <w:pStyle w:val="Default"/>
              <w:jc w:val="center"/>
              <w:rPr>
                <w:rFonts w:ascii="Times New Roman" w:hAnsi="Times New Roman" w:cs="Times New Roman"/>
                <w:sz w:val="20"/>
                <w:szCs w:val="20"/>
              </w:rPr>
            </w:pPr>
            <w:r>
              <w:rPr>
                <w:rFonts w:cs="Times New Roman" w:ascii="Times New Roman" w:hAnsi="Times New Roman"/>
                <w:b/>
                <w:bCs/>
                <w:sz w:val="20"/>
                <w:szCs w:val="20"/>
              </w:rPr>
              <w:t>INFRAÇÃO</w:t>
            </w:r>
          </w:p>
        </w:tc>
        <w:tc>
          <w:tcPr>
            <w:tcW w:w="918" w:type="dxa"/>
            <w:tcBorders/>
          </w:tcPr>
          <w:p>
            <w:pPr>
              <w:pStyle w:val="Default"/>
              <w:rPr>
                <w:rFonts w:ascii="Times New Roman" w:hAnsi="Times New Roman" w:cs="Times New Roman"/>
                <w:sz w:val="20"/>
                <w:szCs w:val="20"/>
              </w:rPr>
            </w:pPr>
            <w:r>
              <w:rPr>
                <w:rFonts w:cs="Times New Roman" w:ascii="Times New Roman" w:hAnsi="Times New Roman"/>
                <w:b/>
                <w:bCs/>
                <w:sz w:val="20"/>
                <w:szCs w:val="20"/>
              </w:rPr>
              <w:t xml:space="preserve">GRAU </w:t>
            </w:r>
          </w:p>
        </w:tc>
      </w:tr>
      <w:tr>
        <w:trPr/>
        <w:tc>
          <w:tcPr>
            <w:tcW w:w="7838" w:type="dxa"/>
            <w:gridSpan w:val="2"/>
            <w:tcBorders/>
          </w:tcPr>
          <w:p>
            <w:pPr>
              <w:pStyle w:val="Default"/>
              <w:rPr>
                <w:rFonts w:ascii="Times New Roman" w:hAnsi="Times New Roman" w:cs="Times New Roman"/>
                <w:sz w:val="20"/>
                <w:szCs w:val="20"/>
              </w:rPr>
            </w:pPr>
            <w:r>
              <w:rPr>
                <w:rFonts w:cs="Times New Roman" w:ascii="Times New Roman" w:hAnsi="Times New Roman"/>
                <w:sz w:val="20"/>
                <w:szCs w:val="20"/>
              </w:rPr>
              <w:t xml:space="preserve">Suspender ou interromper, salvo motivo de força maior ou caso fortuito, os serviços previstos no Termo de Concessão de Uso. Por dia. </w:t>
            </w:r>
          </w:p>
        </w:tc>
        <w:tc>
          <w:tcPr>
            <w:tcW w:w="918" w:type="dxa"/>
            <w:tcBorders/>
          </w:tcPr>
          <w:p>
            <w:pPr>
              <w:pStyle w:val="Normal"/>
              <w:spacing w:before="0" w:after="200"/>
              <w:rPr>
                <w:rFonts w:ascii="Times New Roman" w:hAnsi="Times New Roman"/>
                <w:sz w:val="20"/>
                <w:szCs w:val="20"/>
              </w:rPr>
            </w:pPr>
            <w:r>
              <w:rPr>
                <w:rFonts w:ascii="Times New Roman" w:hAnsi="Times New Roman"/>
                <w:sz w:val="20"/>
                <w:szCs w:val="20"/>
              </w:rPr>
              <w:t>05</w:t>
            </w:r>
          </w:p>
        </w:tc>
      </w:tr>
      <w:tr>
        <w:trPr/>
        <w:tc>
          <w:tcPr>
            <w:tcW w:w="7838" w:type="dxa"/>
            <w:gridSpan w:val="2"/>
            <w:tcBorders/>
          </w:tcPr>
          <w:p>
            <w:pPr>
              <w:pStyle w:val="Default"/>
              <w:rPr>
                <w:rFonts w:ascii="Times New Roman" w:hAnsi="Times New Roman" w:cs="Times New Roman"/>
                <w:sz w:val="20"/>
                <w:szCs w:val="20"/>
              </w:rPr>
            </w:pPr>
            <w:r>
              <w:rPr>
                <w:rFonts w:cs="Times New Roman" w:ascii="Times New Roman" w:hAnsi="Times New Roman"/>
                <w:sz w:val="20"/>
                <w:szCs w:val="20"/>
              </w:rPr>
              <w:t xml:space="preserve">Utilizar as dependências da CONCESSIONÁRIA para fins diversos do objeto do Termo de Concessão de Uso. Por vez. </w:t>
            </w:r>
          </w:p>
        </w:tc>
        <w:tc>
          <w:tcPr>
            <w:tcW w:w="918" w:type="dxa"/>
            <w:tcBorders/>
          </w:tcPr>
          <w:p>
            <w:pPr>
              <w:pStyle w:val="Normal"/>
              <w:spacing w:before="0" w:after="200"/>
              <w:rPr>
                <w:rFonts w:ascii="Times New Roman" w:hAnsi="Times New Roman"/>
                <w:sz w:val="20"/>
                <w:szCs w:val="20"/>
              </w:rPr>
            </w:pPr>
            <w:r>
              <w:rPr>
                <w:rFonts w:ascii="Times New Roman" w:hAnsi="Times New Roman"/>
                <w:sz w:val="20"/>
                <w:szCs w:val="20"/>
              </w:rPr>
              <w:t>04</w:t>
            </w:r>
          </w:p>
        </w:tc>
      </w:tr>
      <w:tr>
        <w:trPr>
          <w:trHeight w:val="303" w:hRule="atLeast"/>
        </w:trPr>
        <w:tc>
          <w:tcPr>
            <w:tcW w:w="7838" w:type="dxa"/>
            <w:gridSpan w:val="2"/>
            <w:tcBorders/>
          </w:tcPr>
          <w:p>
            <w:pPr>
              <w:pStyle w:val="Default"/>
              <w:rPr>
                <w:rFonts w:ascii="Times New Roman" w:hAnsi="Times New Roman" w:cs="Times New Roman"/>
                <w:sz w:val="20"/>
                <w:szCs w:val="20"/>
              </w:rPr>
            </w:pPr>
            <w:r>
              <w:rPr>
                <w:rFonts w:cs="Times New Roman" w:ascii="Times New Roman" w:hAnsi="Times New Roman"/>
                <w:sz w:val="20"/>
                <w:szCs w:val="20"/>
              </w:rPr>
              <w:t xml:space="preserve">Cobrar preços maiores do que os limites fixados. Por vez. </w:t>
            </w:r>
          </w:p>
        </w:tc>
        <w:tc>
          <w:tcPr>
            <w:tcW w:w="918" w:type="dxa"/>
            <w:tcBorders/>
          </w:tcPr>
          <w:p>
            <w:pPr>
              <w:pStyle w:val="Normal"/>
              <w:spacing w:before="0" w:after="200"/>
              <w:rPr>
                <w:rFonts w:ascii="Times New Roman" w:hAnsi="Times New Roman"/>
                <w:sz w:val="20"/>
                <w:szCs w:val="20"/>
              </w:rPr>
            </w:pPr>
            <w:r>
              <w:rPr>
                <w:rFonts w:ascii="Times New Roman" w:hAnsi="Times New Roman"/>
                <w:sz w:val="20"/>
                <w:szCs w:val="20"/>
              </w:rPr>
              <w:t>03</w:t>
            </w:r>
          </w:p>
        </w:tc>
      </w:tr>
      <w:tr>
        <w:trPr/>
        <w:tc>
          <w:tcPr>
            <w:tcW w:w="7838" w:type="dxa"/>
            <w:gridSpan w:val="2"/>
            <w:tcBorders/>
          </w:tcPr>
          <w:p>
            <w:pPr>
              <w:pStyle w:val="Default"/>
              <w:rPr>
                <w:rFonts w:ascii="Times New Roman" w:hAnsi="Times New Roman" w:cs="Times New Roman"/>
                <w:sz w:val="20"/>
                <w:szCs w:val="20"/>
              </w:rPr>
            </w:pPr>
            <w:r>
              <w:rPr>
                <w:rFonts w:cs="Times New Roman" w:ascii="Times New Roman" w:hAnsi="Times New Roman"/>
                <w:sz w:val="20"/>
                <w:szCs w:val="20"/>
              </w:rPr>
              <w:t xml:space="preserve">Cobrar ou permitir que seja cobrada gorjeta pelos serviços realizados, não sendo autorizada a tal cobrança. Por vez. </w:t>
            </w:r>
          </w:p>
        </w:tc>
        <w:tc>
          <w:tcPr>
            <w:tcW w:w="918" w:type="dxa"/>
            <w:tcBorders/>
          </w:tcPr>
          <w:p>
            <w:pPr>
              <w:pStyle w:val="Normal"/>
              <w:spacing w:before="0" w:after="200"/>
              <w:rPr>
                <w:rFonts w:ascii="Times New Roman" w:hAnsi="Times New Roman"/>
                <w:sz w:val="20"/>
                <w:szCs w:val="20"/>
              </w:rPr>
            </w:pPr>
            <w:r>
              <w:rPr>
                <w:rFonts w:ascii="Times New Roman" w:hAnsi="Times New Roman"/>
                <w:sz w:val="20"/>
                <w:szCs w:val="20"/>
              </w:rPr>
              <w:t>02</w:t>
            </w:r>
          </w:p>
        </w:tc>
      </w:tr>
      <w:tr>
        <w:trPr/>
        <w:tc>
          <w:tcPr>
            <w:tcW w:w="7838" w:type="dxa"/>
            <w:gridSpan w:val="2"/>
            <w:tcBorders/>
          </w:tcPr>
          <w:p>
            <w:pPr>
              <w:pStyle w:val="Default"/>
              <w:rPr>
                <w:rFonts w:ascii="Times New Roman" w:hAnsi="Times New Roman" w:cs="Times New Roman"/>
                <w:sz w:val="20"/>
                <w:szCs w:val="20"/>
              </w:rPr>
            </w:pPr>
            <w:r>
              <w:rPr>
                <w:rFonts w:cs="Times New Roman" w:ascii="Times New Roman" w:hAnsi="Times New Roman"/>
                <w:sz w:val="20"/>
                <w:szCs w:val="20"/>
              </w:rPr>
              <w:t xml:space="preserve">Permitir a presença de empregado não uniformizado, mal apresentado ou sem calçado fechado. Por empregado e por dia. </w:t>
            </w:r>
          </w:p>
        </w:tc>
        <w:tc>
          <w:tcPr>
            <w:tcW w:w="918" w:type="dxa"/>
            <w:tcBorders/>
          </w:tcPr>
          <w:p>
            <w:pPr>
              <w:pStyle w:val="Normal"/>
              <w:spacing w:before="0" w:after="200"/>
              <w:rPr>
                <w:rFonts w:ascii="Times New Roman" w:hAnsi="Times New Roman"/>
                <w:sz w:val="20"/>
                <w:szCs w:val="20"/>
              </w:rPr>
            </w:pPr>
            <w:r>
              <w:rPr>
                <w:rFonts w:ascii="Times New Roman" w:hAnsi="Times New Roman"/>
                <w:sz w:val="20"/>
                <w:szCs w:val="20"/>
              </w:rPr>
              <w:t>01</w:t>
            </w:r>
          </w:p>
        </w:tc>
      </w:tr>
      <w:tr>
        <w:trPr/>
        <w:tc>
          <w:tcPr>
            <w:tcW w:w="7838" w:type="dxa"/>
            <w:gridSpan w:val="2"/>
            <w:tcBorders/>
          </w:tcPr>
          <w:p>
            <w:pPr>
              <w:pStyle w:val="Default"/>
              <w:rPr>
                <w:rFonts w:ascii="Times New Roman" w:hAnsi="Times New Roman" w:cs="Times New Roman"/>
                <w:sz w:val="20"/>
                <w:szCs w:val="20"/>
              </w:rPr>
            </w:pPr>
            <w:r>
              <w:rPr>
                <w:rFonts w:cs="Times New Roman" w:ascii="Times New Roman" w:hAnsi="Times New Roman"/>
                <w:sz w:val="20"/>
                <w:szCs w:val="20"/>
              </w:rPr>
              <w:t xml:space="preserve">Atrasar, sem justificativa, o início da prestação do serviço objeto do Termo de Concessão de Uso. Por dia. </w:t>
            </w:r>
          </w:p>
        </w:tc>
        <w:tc>
          <w:tcPr>
            <w:tcW w:w="918" w:type="dxa"/>
            <w:tcBorders/>
          </w:tcPr>
          <w:p>
            <w:pPr>
              <w:pStyle w:val="Normal"/>
              <w:spacing w:before="0" w:after="200"/>
              <w:rPr>
                <w:rFonts w:ascii="Times New Roman" w:hAnsi="Times New Roman"/>
                <w:sz w:val="20"/>
                <w:szCs w:val="20"/>
              </w:rPr>
            </w:pPr>
            <w:r>
              <w:rPr>
                <w:rFonts w:ascii="Times New Roman" w:hAnsi="Times New Roman"/>
                <w:sz w:val="20"/>
                <w:szCs w:val="20"/>
              </w:rPr>
              <w:t>01</w:t>
            </w:r>
          </w:p>
        </w:tc>
      </w:tr>
      <w:tr>
        <w:trPr/>
        <w:tc>
          <w:tcPr>
            <w:tcW w:w="7838" w:type="dxa"/>
            <w:gridSpan w:val="2"/>
            <w:tcBorders/>
          </w:tcPr>
          <w:p>
            <w:pPr>
              <w:pStyle w:val="Default"/>
              <w:rPr>
                <w:rFonts w:ascii="Times New Roman" w:hAnsi="Times New Roman" w:cs="Times New Roman"/>
                <w:sz w:val="20"/>
                <w:szCs w:val="20"/>
              </w:rPr>
            </w:pPr>
            <w:r>
              <w:rPr>
                <w:rFonts w:cs="Times New Roman" w:ascii="Times New Roman" w:hAnsi="Times New Roman"/>
                <w:sz w:val="20"/>
                <w:szCs w:val="20"/>
              </w:rPr>
              <w:t xml:space="preserve">Permitir a presença de empregado sem o adequado atestado de saúde ocupacional. Por empregado e por dia. </w:t>
            </w:r>
          </w:p>
        </w:tc>
        <w:tc>
          <w:tcPr>
            <w:tcW w:w="918" w:type="dxa"/>
            <w:tcBorders/>
          </w:tcPr>
          <w:p>
            <w:pPr>
              <w:pStyle w:val="Normal"/>
              <w:spacing w:before="0" w:after="200"/>
              <w:rPr>
                <w:rFonts w:ascii="Times New Roman" w:hAnsi="Times New Roman"/>
                <w:sz w:val="20"/>
                <w:szCs w:val="20"/>
              </w:rPr>
            </w:pPr>
            <w:r>
              <w:rPr>
                <w:rFonts w:ascii="Times New Roman" w:hAnsi="Times New Roman"/>
                <w:sz w:val="20"/>
                <w:szCs w:val="20"/>
              </w:rPr>
              <w:t>01</w:t>
            </w:r>
          </w:p>
        </w:tc>
      </w:tr>
      <w:tr>
        <w:trPr/>
        <w:tc>
          <w:tcPr>
            <w:tcW w:w="1126" w:type="dxa"/>
            <w:vMerge w:val="restart"/>
            <w:tcBorders/>
          </w:tcPr>
          <w:p>
            <w:pPr>
              <w:pStyle w:val="Normal"/>
              <w:spacing w:before="0" w:after="200"/>
              <w:rPr>
                <w:rFonts w:ascii="Times New Roman" w:hAnsi="Times New Roman"/>
                <w:sz w:val="20"/>
                <w:szCs w:val="20"/>
              </w:rPr>
            </w:pPr>
            <w:r>
              <w:rPr>
                <w:rFonts w:ascii="Times New Roman" w:hAnsi="Times New Roman"/>
                <w:sz w:val="20"/>
                <w:szCs w:val="20"/>
              </w:rPr>
              <w:t>Deixar de:</w:t>
            </w:r>
          </w:p>
        </w:tc>
        <w:tc>
          <w:tcPr>
            <w:tcW w:w="6712" w:type="dxa"/>
            <w:tcBorders/>
          </w:tcPr>
          <w:p>
            <w:pPr>
              <w:pStyle w:val="Default"/>
              <w:rPr>
                <w:rFonts w:ascii="Times New Roman" w:hAnsi="Times New Roman" w:cs="Times New Roman"/>
                <w:sz w:val="20"/>
                <w:szCs w:val="20"/>
              </w:rPr>
            </w:pPr>
            <w:r>
              <w:rPr>
                <w:rFonts w:cs="Times New Roman" w:ascii="Times New Roman" w:hAnsi="Times New Roman"/>
                <w:sz w:val="20"/>
                <w:szCs w:val="20"/>
              </w:rPr>
              <w:t xml:space="preserve">Cumprir horário de funcionamento, determinado pela CONCEDENTE. Por vez. </w:t>
            </w:r>
          </w:p>
        </w:tc>
        <w:tc>
          <w:tcPr>
            <w:tcW w:w="918" w:type="dxa"/>
            <w:tcBorders/>
          </w:tcPr>
          <w:p>
            <w:pPr>
              <w:pStyle w:val="Normal"/>
              <w:spacing w:before="0" w:after="200"/>
              <w:rPr>
                <w:rFonts w:ascii="Times New Roman" w:hAnsi="Times New Roman"/>
                <w:sz w:val="20"/>
                <w:szCs w:val="20"/>
              </w:rPr>
            </w:pPr>
            <w:r>
              <w:rPr>
                <w:rFonts w:ascii="Times New Roman" w:hAnsi="Times New Roman"/>
                <w:sz w:val="20"/>
                <w:szCs w:val="20"/>
              </w:rPr>
              <w:t>04</w:t>
            </w:r>
          </w:p>
        </w:tc>
      </w:tr>
      <w:tr>
        <w:trPr/>
        <w:tc>
          <w:tcPr>
            <w:tcW w:w="1126" w:type="dxa"/>
            <w:vMerge w:val="continue"/>
            <w:tcBorders/>
          </w:tcPr>
          <w:p>
            <w:pPr>
              <w:pStyle w:val="Normal"/>
              <w:spacing w:before="0" w:after="200"/>
              <w:rPr>
                <w:rFonts w:ascii="Times New Roman" w:hAnsi="Times New Roman"/>
                <w:sz w:val="20"/>
                <w:szCs w:val="20"/>
              </w:rPr>
            </w:pPr>
            <w:r>
              <w:rPr>
                <w:rFonts w:ascii="Times New Roman" w:hAnsi="Times New Roman"/>
                <w:sz w:val="20"/>
                <w:szCs w:val="20"/>
              </w:rPr>
            </w:r>
          </w:p>
        </w:tc>
        <w:tc>
          <w:tcPr>
            <w:tcW w:w="6712" w:type="dxa"/>
            <w:tcBorders/>
          </w:tcPr>
          <w:p>
            <w:pPr>
              <w:pStyle w:val="Default"/>
              <w:rPr>
                <w:rFonts w:ascii="Times New Roman" w:hAnsi="Times New Roman" w:cs="Times New Roman"/>
                <w:sz w:val="20"/>
                <w:szCs w:val="20"/>
              </w:rPr>
            </w:pPr>
            <w:r>
              <w:rPr>
                <w:rFonts w:cs="Times New Roman" w:ascii="Times New Roman" w:hAnsi="Times New Roman"/>
                <w:sz w:val="20"/>
                <w:szCs w:val="20"/>
              </w:rPr>
              <w:t xml:space="preserve">Remover o lixo. Por dia. </w:t>
            </w:r>
          </w:p>
        </w:tc>
        <w:tc>
          <w:tcPr>
            <w:tcW w:w="918" w:type="dxa"/>
            <w:tcBorders/>
          </w:tcPr>
          <w:p>
            <w:pPr>
              <w:pStyle w:val="Normal"/>
              <w:spacing w:before="0" w:after="200"/>
              <w:rPr>
                <w:rFonts w:ascii="Times New Roman" w:hAnsi="Times New Roman"/>
                <w:sz w:val="20"/>
                <w:szCs w:val="20"/>
              </w:rPr>
            </w:pPr>
            <w:r>
              <w:rPr>
                <w:rFonts w:ascii="Times New Roman" w:hAnsi="Times New Roman"/>
                <w:sz w:val="20"/>
                <w:szCs w:val="20"/>
              </w:rPr>
              <w:t>03</w:t>
            </w:r>
          </w:p>
        </w:tc>
      </w:tr>
      <w:tr>
        <w:trPr/>
        <w:tc>
          <w:tcPr>
            <w:tcW w:w="1126" w:type="dxa"/>
            <w:vMerge w:val="continue"/>
            <w:tcBorders/>
          </w:tcPr>
          <w:p>
            <w:pPr>
              <w:pStyle w:val="Normal"/>
              <w:spacing w:before="0" w:after="200"/>
              <w:rPr>
                <w:rFonts w:ascii="Times New Roman" w:hAnsi="Times New Roman"/>
                <w:sz w:val="20"/>
                <w:szCs w:val="20"/>
              </w:rPr>
            </w:pPr>
            <w:r>
              <w:rPr>
                <w:rFonts w:ascii="Times New Roman" w:hAnsi="Times New Roman"/>
                <w:sz w:val="20"/>
                <w:szCs w:val="20"/>
              </w:rPr>
            </w:r>
          </w:p>
        </w:tc>
        <w:tc>
          <w:tcPr>
            <w:tcW w:w="6712" w:type="dxa"/>
            <w:tcBorders/>
          </w:tcPr>
          <w:p>
            <w:pPr>
              <w:pStyle w:val="Default"/>
              <w:rPr>
                <w:rFonts w:ascii="Times New Roman" w:hAnsi="Times New Roman" w:cs="Times New Roman"/>
                <w:sz w:val="20"/>
                <w:szCs w:val="20"/>
              </w:rPr>
            </w:pPr>
            <w:r>
              <w:rPr>
                <w:rFonts w:cs="Times New Roman" w:ascii="Times New Roman" w:hAnsi="Times New Roman"/>
                <w:sz w:val="20"/>
                <w:szCs w:val="20"/>
              </w:rPr>
              <w:t xml:space="preserve">Providenciar a limpeza, higienização, desinfecção e imunização das áreas e instalações utilizadas, após a notificação da CONCEDENTE e no prazo que foi fixado. Por vez. </w:t>
            </w:r>
          </w:p>
        </w:tc>
        <w:tc>
          <w:tcPr>
            <w:tcW w:w="918" w:type="dxa"/>
            <w:tcBorders/>
          </w:tcPr>
          <w:p>
            <w:pPr>
              <w:pStyle w:val="Normal"/>
              <w:spacing w:before="0" w:after="200"/>
              <w:rPr>
                <w:rFonts w:ascii="Times New Roman" w:hAnsi="Times New Roman"/>
                <w:sz w:val="20"/>
                <w:szCs w:val="20"/>
              </w:rPr>
            </w:pPr>
            <w:r>
              <w:rPr>
                <w:rFonts w:ascii="Times New Roman" w:hAnsi="Times New Roman"/>
                <w:sz w:val="20"/>
                <w:szCs w:val="20"/>
              </w:rPr>
              <w:t>03</w:t>
            </w:r>
          </w:p>
        </w:tc>
      </w:tr>
      <w:tr>
        <w:trPr/>
        <w:tc>
          <w:tcPr>
            <w:tcW w:w="1126" w:type="dxa"/>
            <w:vMerge w:val="continue"/>
            <w:tcBorders/>
          </w:tcPr>
          <w:p>
            <w:pPr>
              <w:pStyle w:val="Normal"/>
              <w:spacing w:before="0" w:after="200"/>
              <w:rPr>
                <w:rFonts w:ascii="Times New Roman" w:hAnsi="Times New Roman"/>
                <w:sz w:val="20"/>
                <w:szCs w:val="20"/>
              </w:rPr>
            </w:pPr>
            <w:r>
              <w:rPr>
                <w:rFonts w:ascii="Times New Roman" w:hAnsi="Times New Roman"/>
                <w:sz w:val="20"/>
                <w:szCs w:val="20"/>
              </w:rPr>
            </w:r>
          </w:p>
        </w:tc>
        <w:tc>
          <w:tcPr>
            <w:tcW w:w="6712" w:type="dxa"/>
            <w:tcBorders/>
          </w:tcPr>
          <w:p>
            <w:pPr>
              <w:pStyle w:val="Default"/>
              <w:rPr>
                <w:rFonts w:ascii="Times New Roman" w:hAnsi="Times New Roman" w:cs="Times New Roman"/>
                <w:sz w:val="20"/>
                <w:szCs w:val="20"/>
              </w:rPr>
            </w:pPr>
            <w:r>
              <w:rPr>
                <w:rFonts w:cs="Times New Roman" w:ascii="Times New Roman" w:hAnsi="Times New Roman"/>
                <w:sz w:val="20"/>
                <w:szCs w:val="20"/>
              </w:rPr>
              <w:t xml:space="preserve">Responder, no prazo fixado, a solicitação ou requisição da CONCEDENTE. Por vez. </w:t>
            </w:r>
          </w:p>
        </w:tc>
        <w:tc>
          <w:tcPr>
            <w:tcW w:w="918" w:type="dxa"/>
            <w:tcBorders/>
          </w:tcPr>
          <w:p>
            <w:pPr>
              <w:pStyle w:val="Normal"/>
              <w:spacing w:before="0" w:after="200"/>
              <w:rPr>
                <w:rFonts w:ascii="Times New Roman" w:hAnsi="Times New Roman"/>
                <w:sz w:val="20"/>
                <w:szCs w:val="20"/>
              </w:rPr>
            </w:pPr>
            <w:r>
              <w:rPr>
                <w:rFonts w:ascii="Times New Roman" w:hAnsi="Times New Roman"/>
                <w:sz w:val="20"/>
                <w:szCs w:val="20"/>
              </w:rPr>
              <w:t>02</w:t>
            </w:r>
          </w:p>
        </w:tc>
      </w:tr>
      <w:tr>
        <w:trPr/>
        <w:tc>
          <w:tcPr>
            <w:tcW w:w="1126" w:type="dxa"/>
            <w:vMerge w:val="continue"/>
            <w:tcBorders/>
          </w:tcPr>
          <w:p>
            <w:pPr>
              <w:pStyle w:val="Normal"/>
              <w:spacing w:before="0" w:after="200"/>
              <w:rPr>
                <w:rFonts w:ascii="Times New Roman" w:hAnsi="Times New Roman"/>
                <w:sz w:val="20"/>
                <w:szCs w:val="20"/>
              </w:rPr>
            </w:pPr>
            <w:r>
              <w:rPr>
                <w:rFonts w:ascii="Times New Roman" w:hAnsi="Times New Roman"/>
                <w:sz w:val="20"/>
                <w:szCs w:val="20"/>
              </w:rPr>
            </w:r>
          </w:p>
        </w:tc>
        <w:tc>
          <w:tcPr>
            <w:tcW w:w="6712" w:type="dxa"/>
            <w:tcBorders/>
          </w:tcPr>
          <w:p>
            <w:pPr>
              <w:pStyle w:val="Default"/>
              <w:rPr>
                <w:rFonts w:ascii="Times New Roman" w:hAnsi="Times New Roman" w:cs="Times New Roman"/>
                <w:sz w:val="20"/>
                <w:szCs w:val="20"/>
              </w:rPr>
            </w:pPr>
            <w:r>
              <w:rPr>
                <w:rFonts w:cs="Times New Roman" w:ascii="Times New Roman" w:hAnsi="Times New Roman"/>
                <w:sz w:val="20"/>
                <w:szCs w:val="20"/>
              </w:rPr>
              <w:t>Cumprir determinação formal ou instrução complementar da CONCEDENTE. Por dia.</w:t>
            </w:r>
          </w:p>
        </w:tc>
        <w:tc>
          <w:tcPr>
            <w:tcW w:w="918" w:type="dxa"/>
            <w:tcBorders/>
          </w:tcPr>
          <w:p>
            <w:pPr>
              <w:pStyle w:val="Normal"/>
              <w:spacing w:before="0" w:after="200"/>
              <w:rPr>
                <w:rFonts w:ascii="Times New Roman" w:hAnsi="Times New Roman"/>
                <w:sz w:val="20"/>
                <w:szCs w:val="20"/>
              </w:rPr>
            </w:pPr>
            <w:r>
              <w:rPr>
                <w:rFonts w:ascii="Times New Roman" w:hAnsi="Times New Roman"/>
                <w:sz w:val="20"/>
                <w:szCs w:val="20"/>
              </w:rPr>
              <w:t>02</w:t>
            </w:r>
          </w:p>
        </w:tc>
      </w:tr>
      <w:tr>
        <w:trPr/>
        <w:tc>
          <w:tcPr>
            <w:tcW w:w="1126" w:type="dxa"/>
            <w:vMerge w:val="continue"/>
            <w:tcBorders/>
          </w:tcPr>
          <w:p>
            <w:pPr>
              <w:pStyle w:val="Normal"/>
              <w:spacing w:before="0" w:after="200"/>
              <w:rPr>
                <w:rFonts w:ascii="Times New Roman" w:hAnsi="Times New Roman"/>
                <w:sz w:val="20"/>
                <w:szCs w:val="20"/>
              </w:rPr>
            </w:pPr>
            <w:r>
              <w:rPr>
                <w:rFonts w:ascii="Times New Roman" w:hAnsi="Times New Roman"/>
                <w:sz w:val="20"/>
                <w:szCs w:val="20"/>
              </w:rPr>
            </w:r>
          </w:p>
        </w:tc>
        <w:tc>
          <w:tcPr>
            <w:tcW w:w="6712" w:type="dxa"/>
            <w:tcBorders/>
          </w:tcPr>
          <w:p>
            <w:pPr>
              <w:pStyle w:val="Default"/>
              <w:rPr>
                <w:rFonts w:ascii="Times New Roman" w:hAnsi="Times New Roman" w:cs="Times New Roman"/>
                <w:sz w:val="20"/>
                <w:szCs w:val="20"/>
              </w:rPr>
            </w:pPr>
            <w:r>
              <w:rPr>
                <w:rFonts w:cs="Times New Roman" w:ascii="Times New Roman" w:hAnsi="Times New Roman"/>
                <w:sz w:val="20"/>
                <w:szCs w:val="20"/>
              </w:rPr>
              <w:t>Cumprir quaisquer dos itens do Edital e seus Anexos não previstos nesta tabela de multas, após reincidência formalmente notificada pela CONCEDENTE. Por item descumprido e em que tenha ocorrido reincidência.</w:t>
            </w:r>
          </w:p>
        </w:tc>
        <w:tc>
          <w:tcPr>
            <w:tcW w:w="918" w:type="dxa"/>
            <w:tcBorders/>
          </w:tcPr>
          <w:p>
            <w:pPr>
              <w:pStyle w:val="Normal"/>
              <w:spacing w:before="0" w:after="200"/>
              <w:rPr>
                <w:rFonts w:ascii="Times New Roman" w:hAnsi="Times New Roman"/>
                <w:sz w:val="20"/>
                <w:szCs w:val="20"/>
              </w:rPr>
            </w:pPr>
            <w:r>
              <w:rPr>
                <w:rFonts w:ascii="Times New Roman" w:hAnsi="Times New Roman"/>
                <w:sz w:val="20"/>
                <w:szCs w:val="20"/>
              </w:rPr>
              <w:t>02</w:t>
            </w:r>
          </w:p>
        </w:tc>
      </w:tr>
      <w:tr>
        <w:trPr/>
        <w:tc>
          <w:tcPr>
            <w:tcW w:w="1126" w:type="dxa"/>
            <w:vMerge w:val="continue"/>
            <w:tcBorders/>
          </w:tcPr>
          <w:p>
            <w:pPr>
              <w:pStyle w:val="Normal"/>
              <w:spacing w:before="0" w:after="200"/>
              <w:rPr>
                <w:rFonts w:ascii="Times New Roman" w:hAnsi="Times New Roman"/>
                <w:sz w:val="20"/>
                <w:szCs w:val="20"/>
              </w:rPr>
            </w:pPr>
            <w:r>
              <w:rPr>
                <w:rFonts w:ascii="Times New Roman" w:hAnsi="Times New Roman"/>
                <w:sz w:val="20"/>
                <w:szCs w:val="20"/>
              </w:rPr>
            </w:r>
          </w:p>
        </w:tc>
        <w:tc>
          <w:tcPr>
            <w:tcW w:w="6712" w:type="dxa"/>
            <w:tcBorders/>
          </w:tcPr>
          <w:p>
            <w:pPr>
              <w:pStyle w:val="Default"/>
              <w:rPr>
                <w:rFonts w:ascii="Times New Roman" w:hAnsi="Times New Roman" w:cs="Times New Roman"/>
                <w:sz w:val="20"/>
                <w:szCs w:val="20"/>
              </w:rPr>
            </w:pPr>
            <w:r>
              <w:rPr>
                <w:rFonts w:cs="Times New Roman" w:ascii="Times New Roman" w:hAnsi="Times New Roman"/>
                <w:sz w:val="20"/>
                <w:szCs w:val="20"/>
              </w:rPr>
              <w:t xml:space="preserve">Manter empregado qualificado para responder perante a CONCEDENTE. Por vez. </w:t>
            </w:r>
          </w:p>
        </w:tc>
        <w:tc>
          <w:tcPr>
            <w:tcW w:w="918" w:type="dxa"/>
            <w:tcBorders/>
          </w:tcPr>
          <w:p>
            <w:pPr>
              <w:pStyle w:val="Normal"/>
              <w:spacing w:before="0" w:after="200"/>
              <w:rPr>
                <w:rFonts w:ascii="Times New Roman" w:hAnsi="Times New Roman"/>
                <w:sz w:val="20"/>
                <w:szCs w:val="20"/>
              </w:rPr>
            </w:pPr>
            <w:r>
              <w:rPr>
                <w:rFonts w:ascii="Times New Roman" w:hAnsi="Times New Roman"/>
                <w:sz w:val="20"/>
                <w:szCs w:val="20"/>
              </w:rPr>
              <w:t>01</w:t>
            </w:r>
          </w:p>
        </w:tc>
      </w:tr>
      <w:tr>
        <w:trPr/>
        <w:tc>
          <w:tcPr>
            <w:tcW w:w="1126" w:type="dxa"/>
            <w:vMerge w:val="continue"/>
            <w:tcBorders/>
          </w:tcPr>
          <w:p>
            <w:pPr>
              <w:pStyle w:val="Normal"/>
              <w:spacing w:before="0" w:after="200"/>
              <w:rPr>
                <w:rFonts w:ascii="Times New Roman" w:hAnsi="Times New Roman"/>
                <w:sz w:val="20"/>
                <w:szCs w:val="20"/>
              </w:rPr>
            </w:pPr>
            <w:r>
              <w:rPr>
                <w:rFonts w:ascii="Times New Roman" w:hAnsi="Times New Roman"/>
                <w:sz w:val="20"/>
                <w:szCs w:val="20"/>
              </w:rPr>
            </w:r>
          </w:p>
        </w:tc>
        <w:tc>
          <w:tcPr>
            <w:tcW w:w="6712" w:type="dxa"/>
            <w:tcBorders/>
          </w:tcPr>
          <w:p>
            <w:pPr>
              <w:pStyle w:val="Default"/>
              <w:rPr>
                <w:rFonts w:ascii="Times New Roman" w:hAnsi="Times New Roman" w:cs="Times New Roman"/>
                <w:sz w:val="20"/>
                <w:szCs w:val="20"/>
              </w:rPr>
            </w:pPr>
            <w:r>
              <w:rPr>
                <w:rFonts w:cs="Times New Roman" w:ascii="Times New Roman" w:hAnsi="Times New Roman"/>
                <w:sz w:val="20"/>
                <w:szCs w:val="20"/>
              </w:rPr>
              <w:t xml:space="preserve">Manter lista de preços em lugar visível. Por dia. </w:t>
            </w:r>
          </w:p>
        </w:tc>
        <w:tc>
          <w:tcPr>
            <w:tcW w:w="918" w:type="dxa"/>
            <w:tcBorders/>
          </w:tcPr>
          <w:p>
            <w:pPr>
              <w:pStyle w:val="Normal"/>
              <w:spacing w:before="0" w:after="200"/>
              <w:rPr>
                <w:rFonts w:ascii="Times New Roman" w:hAnsi="Times New Roman"/>
                <w:sz w:val="20"/>
                <w:szCs w:val="20"/>
              </w:rPr>
            </w:pPr>
            <w:r>
              <w:rPr>
                <w:rFonts w:ascii="Times New Roman" w:hAnsi="Times New Roman"/>
                <w:sz w:val="20"/>
                <w:szCs w:val="20"/>
              </w:rPr>
              <w:t>01</w:t>
            </w:r>
          </w:p>
        </w:tc>
      </w:tr>
      <w:tr>
        <w:trPr/>
        <w:tc>
          <w:tcPr>
            <w:tcW w:w="1126" w:type="dxa"/>
            <w:vMerge w:val="continue"/>
            <w:tcBorders/>
          </w:tcPr>
          <w:p>
            <w:pPr>
              <w:pStyle w:val="Normal"/>
              <w:spacing w:before="0" w:after="200"/>
              <w:rPr>
                <w:rFonts w:ascii="Times New Roman" w:hAnsi="Times New Roman"/>
                <w:sz w:val="20"/>
                <w:szCs w:val="20"/>
              </w:rPr>
            </w:pPr>
            <w:r>
              <w:rPr>
                <w:rFonts w:ascii="Times New Roman" w:hAnsi="Times New Roman"/>
                <w:sz w:val="20"/>
                <w:szCs w:val="20"/>
              </w:rPr>
            </w:r>
          </w:p>
        </w:tc>
        <w:tc>
          <w:tcPr>
            <w:tcW w:w="6712" w:type="dxa"/>
            <w:tcBorders/>
          </w:tcPr>
          <w:p>
            <w:pPr>
              <w:pStyle w:val="Default"/>
              <w:rPr>
                <w:rFonts w:ascii="Times New Roman" w:hAnsi="Times New Roman" w:cs="Times New Roman"/>
                <w:sz w:val="20"/>
                <w:szCs w:val="20"/>
              </w:rPr>
            </w:pPr>
            <w:r>
              <w:rPr>
                <w:rFonts w:cs="Times New Roman" w:ascii="Times New Roman" w:hAnsi="Times New Roman"/>
                <w:sz w:val="20"/>
                <w:szCs w:val="20"/>
              </w:rPr>
              <w:t>Manter documentação legal. Por vez.</w:t>
            </w:r>
          </w:p>
        </w:tc>
        <w:tc>
          <w:tcPr>
            <w:tcW w:w="918" w:type="dxa"/>
            <w:tcBorders/>
          </w:tcPr>
          <w:p>
            <w:pPr>
              <w:pStyle w:val="Normal"/>
              <w:spacing w:before="0" w:after="200"/>
              <w:rPr>
                <w:rFonts w:ascii="Times New Roman" w:hAnsi="Times New Roman"/>
                <w:sz w:val="20"/>
                <w:szCs w:val="20"/>
              </w:rPr>
            </w:pPr>
            <w:r>
              <w:rPr>
                <w:rFonts w:ascii="Times New Roman" w:hAnsi="Times New Roman"/>
                <w:sz w:val="20"/>
                <w:szCs w:val="20"/>
              </w:rPr>
              <w:t>01</w:t>
            </w:r>
          </w:p>
        </w:tc>
      </w:tr>
    </w:tbl>
    <w:p>
      <w:pPr>
        <w:pStyle w:val="Normal"/>
        <w:jc w:val="both"/>
        <w:rPr>
          <w:rFonts w:ascii="Times New Roman" w:hAnsi="Times New Roman"/>
        </w:rPr>
      </w:pPr>
      <w:r>
        <w:rPr>
          <w:rFonts w:ascii="Times New Roman" w:hAnsi="Times New Roman"/>
        </w:rPr>
      </w:r>
    </w:p>
    <w:p>
      <w:pPr>
        <w:pStyle w:val="ListParagraph"/>
        <w:numPr>
          <w:ilvl w:val="1"/>
          <w:numId w:val="1"/>
        </w:numPr>
        <w:tabs>
          <w:tab w:val="clear" w:pos="708"/>
          <w:tab w:val="left" w:pos="284" w:leader="none"/>
        </w:tabs>
        <w:ind w:left="0" w:hanging="0"/>
        <w:jc w:val="both"/>
        <w:rPr>
          <w:rFonts w:ascii="Times New Roman" w:hAnsi="Times New Roman"/>
        </w:rPr>
      </w:pPr>
      <w:r>
        <w:rPr>
          <w:rFonts w:ascii="Times New Roman" w:hAnsi="Times New Roman"/>
        </w:rPr>
        <w:t>. Para efeito de aplicação das multas, às infrações são atribuídos graus, conforme a seguinte tabela:</w:t>
      </w:r>
    </w:p>
    <w:tbl>
      <w:tblPr>
        <w:tblStyle w:val="Tabelacomgrade"/>
        <w:tblW w:w="8134" w:type="dxa"/>
        <w:jc w:val="left"/>
        <w:tblInd w:w="360" w:type="dxa"/>
        <w:tblCellMar>
          <w:top w:w="0" w:type="dxa"/>
          <w:left w:w="108" w:type="dxa"/>
          <w:bottom w:w="0" w:type="dxa"/>
          <w:right w:w="108" w:type="dxa"/>
        </w:tblCellMar>
        <w:tblLook w:firstRow="1" w:noVBand="1" w:lastRow="0" w:firstColumn="1" w:lastColumn="0" w:noHBand="0" w:val="04a0"/>
      </w:tblPr>
      <w:tblGrid>
        <w:gridCol w:w="4021"/>
        <w:gridCol w:w="4112"/>
      </w:tblGrid>
      <w:tr>
        <w:trPr>
          <w:trHeight w:val="199" w:hRule="atLeast"/>
        </w:trPr>
        <w:tc>
          <w:tcPr>
            <w:tcW w:w="4021" w:type="dxa"/>
            <w:tcBorders/>
          </w:tcPr>
          <w:p>
            <w:pPr>
              <w:pStyle w:val="ListParagraph"/>
              <w:spacing w:lineRule="auto" w:line="240" w:before="0" w:after="200"/>
              <w:ind w:left="0" w:hanging="0"/>
              <w:contextualSpacing/>
              <w:jc w:val="center"/>
              <w:rPr/>
            </w:pPr>
            <w:r>
              <w:rPr>
                <w:rFonts w:ascii="Times New Roman" w:hAnsi="Times New Roman"/>
                <w:sz w:val="20"/>
                <w:szCs w:val="20"/>
              </w:rPr>
              <w:t>GRAU</w:t>
            </w:r>
          </w:p>
        </w:tc>
        <w:tc>
          <w:tcPr>
            <w:tcW w:w="4112" w:type="dxa"/>
            <w:tcBorders/>
          </w:tcPr>
          <w:p>
            <w:pPr>
              <w:pStyle w:val="ListParagraph"/>
              <w:spacing w:lineRule="auto" w:line="240" w:before="0" w:after="200"/>
              <w:ind w:left="0" w:hanging="0"/>
              <w:contextualSpacing/>
              <w:jc w:val="center"/>
              <w:rPr/>
            </w:pPr>
            <w:r>
              <w:rPr>
                <w:rFonts w:ascii="Times New Roman" w:hAnsi="Times New Roman"/>
                <w:sz w:val="20"/>
                <w:szCs w:val="20"/>
              </w:rPr>
              <w:t>CORRESPONDÊNCIA</w:t>
            </w:r>
          </w:p>
        </w:tc>
      </w:tr>
      <w:tr>
        <w:trPr>
          <w:trHeight w:val="291" w:hRule="atLeast"/>
        </w:trPr>
        <w:tc>
          <w:tcPr>
            <w:tcW w:w="4021" w:type="dxa"/>
            <w:tcBorders/>
          </w:tcPr>
          <w:p>
            <w:pPr>
              <w:pStyle w:val="ListParagraph"/>
              <w:spacing w:lineRule="auto" w:line="240" w:before="0" w:after="200"/>
              <w:ind w:left="0" w:hanging="0"/>
              <w:contextualSpacing/>
              <w:jc w:val="center"/>
              <w:rPr/>
            </w:pPr>
            <w:r>
              <w:rPr>
                <w:rFonts w:ascii="Times New Roman" w:hAnsi="Times New Roman"/>
                <w:sz w:val="20"/>
                <w:szCs w:val="20"/>
              </w:rPr>
              <w:t>01</w:t>
            </w:r>
          </w:p>
        </w:tc>
        <w:tc>
          <w:tcPr>
            <w:tcW w:w="4112" w:type="dxa"/>
            <w:tcBorders/>
            <w:shd w:color="auto" w:fill="FFFFFF" w:themeFill="background1" w:val="clear"/>
          </w:tcPr>
          <w:p>
            <w:pPr>
              <w:pStyle w:val="ListParagraph"/>
              <w:spacing w:lineRule="auto" w:line="240" w:before="0" w:after="200"/>
              <w:ind w:left="0" w:hanging="0"/>
              <w:contextualSpacing/>
              <w:jc w:val="center"/>
              <w:rPr/>
            </w:pPr>
            <w:r>
              <w:rPr>
                <w:rFonts w:ascii="Times New Roman" w:hAnsi="Times New Roman"/>
                <w:sz w:val="20"/>
                <w:szCs w:val="20"/>
              </w:rPr>
              <w:t>R$ 50,00</w:t>
            </w:r>
          </w:p>
        </w:tc>
      </w:tr>
      <w:tr>
        <w:trPr/>
        <w:tc>
          <w:tcPr>
            <w:tcW w:w="4021" w:type="dxa"/>
            <w:tcBorders/>
          </w:tcPr>
          <w:p>
            <w:pPr>
              <w:pStyle w:val="ListParagraph"/>
              <w:spacing w:lineRule="auto" w:line="240" w:before="0" w:after="200"/>
              <w:ind w:left="0" w:hanging="0"/>
              <w:contextualSpacing/>
              <w:jc w:val="center"/>
              <w:rPr/>
            </w:pPr>
            <w:r>
              <w:rPr>
                <w:rFonts w:ascii="Times New Roman" w:hAnsi="Times New Roman"/>
                <w:sz w:val="20"/>
                <w:szCs w:val="20"/>
              </w:rPr>
              <w:t>02</w:t>
            </w:r>
          </w:p>
        </w:tc>
        <w:tc>
          <w:tcPr>
            <w:tcW w:w="4112" w:type="dxa"/>
            <w:tcBorders/>
            <w:shd w:color="auto" w:fill="FFFFFF" w:themeFill="background1" w:val="clear"/>
          </w:tcPr>
          <w:p>
            <w:pPr>
              <w:pStyle w:val="ListParagraph"/>
              <w:spacing w:lineRule="auto" w:line="240" w:before="0" w:after="200"/>
              <w:ind w:left="0" w:hanging="0"/>
              <w:contextualSpacing/>
              <w:jc w:val="center"/>
              <w:rPr/>
            </w:pPr>
            <w:r>
              <w:rPr>
                <w:rFonts w:ascii="Times New Roman" w:hAnsi="Times New Roman"/>
                <w:sz w:val="20"/>
                <w:szCs w:val="20"/>
              </w:rPr>
              <w:t>R$ 70,00</w:t>
            </w:r>
          </w:p>
        </w:tc>
      </w:tr>
      <w:tr>
        <w:trPr/>
        <w:tc>
          <w:tcPr>
            <w:tcW w:w="4021" w:type="dxa"/>
            <w:tcBorders/>
          </w:tcPr>
          <w:p>
            <w:pPr>
              <w:pStyle w:val="ListParagraph"/>
              <w:spacing w:lineRule="auto" w:line="240" w:before="0" w:after="200"/>
              <w:ind w:left="0" w:hanging="0"/>
              <w:contextualSpacing/>
              <w:jc w:val="center"/>
              <w:rPr/>
            </w:pPr>
            <w:r>
              <w:rPr>
                <w:rFonts w:ascii="Times New Roman" w:hAnsi="Times New Roman"/>
                <w:sz w:val="20"/>
                <w:szCs w:val="20"/>
              </w:rPr>
              <w:t>03</w:t>
            </w:r>
          </w:p>
        </w:tc>
        <w:tc>
          <w:tcPr>
            <w:tcW w:w="4112" w:type="dxa"/>
            <w:tcBorders/>
            <w:shd w:color="auto" w:fill="FFFFFF" w:themeFill="background1" w:val="clear"/>
          </w:tcPr>
          <w:p>
            <w:pPr>
              <w:pStyle w:val="ListParagraph"/>
              <w:spacing w:lineRule="auto" w:line="240" w:before="0" w:after="200"/>
              <w:ind w:left="0" w:hanging="0"/>
              <w:contextualSpacing/>
              <w:jc w:val="center"/>
              <w:rPr/>
            </w:pPr>
            <w:r>
              <w:rPr>
                <w:rFonts w:ascii="Times New Roman" w:hAnsi="Times New Roman"/>
                <w:sz w:val="20"/>
                <w:szCs w:val="20"/>
              </w:rPr>
              <w:t>R$ 100,00</w:t>
            </w:r>
          </w:p>
        </w:tc>
      </w:tr>
      <w:tr>
        <w:trPr/>
        <w:tc>
          <w:tcPr>
            <w:tcW w:w="4021" w:type="dxa"/>
            <w:tcBorders/>
          </w:tcPr>
          <w:p>
            <w:pPr>
              <w:pStyle w:val="ListParagraph"/>
              <w:spacing w:lineRule="auto" w:line="240" w:before="0" w:after="200"/>
              <w:ind w:left="0" w:hanging="0"/>
              <w:contextualSpacing/>
              <w:jc w:val="center"/>
              <w:rPr/>
            </w:pPr>
            <w:r>
              <w:rPr>
                <w:rFonts w:ascii="Times New Roman" w:hAnsi="Times New Roman"/>
                <w:sz w:val="20"/>
                <w:szCs w:val="20"/>
              </w:rPr>
              <w:t>04</w:t>
            </w:r>
          </w:p>
        </w:tc>
        <w:tc>
          <w:tcPr>
            <w:tcW w:w="4112" w:type="dxa"/>
            <w:tcBorders/>
            <w:shd w:color="auto" w:fill="FFFFFF" w:themeFill="background1" w:val="clear"/>
          </w:tcPr>
          <w:p>
            <w:pPr>
              <w:pStyle w:val="ListParagraph"/>
              <w:spacing w:lineRule="auto" w:line="240" w:before="0" w:after="200"/>
              <w:ind w:left="0" w:hanging="0"/>
              <w:contextualSpacing/>
              <w:jc w:val="center"/>
              <w:rPr/>
            </w:pPr>
            <w:r>
              <w:rPr>
                <w:rFonts w:ascii="Times New Roman" w:hAnsi="Times New Roman"/>
                <w:sz w:val="20"/>
                <w:szCs w:val="20"/>
              </w:rPr>
              <w:t>R$ 200,00</w:t>
            </w:r>
          </w:p>
        </w:tc>
      </w:tr>
      <w:tr>
        <w:trPr/>
        <w:tc>
          <w:tcPr>
            <w:tcW w:w="4021" w:type="dxa"/>
            <w:tcBorders/>
          </w:tcPr>
          <w:p>
            <w:pPr>
              <w:pStyle w:val="ListParagraph"/>
              <w:spacing w:lineRule="auto" w:line="240" w:before="0" w:after="200"/>
              <w:ind w:left="0" w:hanging="0"/>
              <w:contextualSpacing/>
              <w:jc w:val="center"/>
              <w:rPr/>
            </w:pPr>
            <w:r>
              <w:rPr>
                <w:rFonts w:ascii="Times New Roman" w:hAnsi="Times New Roman"/>
                <w:sz w:val="20"/>
                <w:szCs w:val="20"/>
              </w:rPr>
              <w:t>05</w:t>
            </w:r>
          </w:p>
        </w:tc>
        <w:tc>
          <w:tcPr>
            <w:tcW w:w="4112" w:type="dxa"/>
            <w:tcBorders/>
            <w:shd w:color="auto" w:fill="FFFFFF" w:themeFill="background1" w:val="clear"/>
          </w:tcPr>
          <w:p>
            <w:pPr>
              <w:pStyle w:val="ListParagraph"/>
              <w:spacing w:lineRule="auto" w:line="240" w:before="0" w:after="200"/>
              <w:ind w:left="0" w:hanging="0"/>
              <w:contextualSpacing/>
              <w:jc w:val="center"/>
              <w:rPr/>
            </w:pPr>
            <w:r>
              <w:rPr>
                <w:rFonts w:ascii="Times New Roman" w:hAnsi="Times New Roman"/>
                <w:sz w:val="20"/>
                <w:szCs w:val="20"/>
              </w:rPr>
              <w:t>R$ 1.000,00</w:t>
            </w:r>
          </w:p>
        </w:tc>
      </w:tr>
    </w:tbl>
    <w:p>
      <w:pPr>
        <w:pStyle w:val="ListParagraph"/>
        <w:ind w:left="360" w:hanging="0"/>
        <w:jc w:val="center"/>
        <w:rPr>
          <w:rFonts w:ascii="Times New Roman" w:hAnsi="Times New Roman"/>
          <w:b/>
          <w:b/>
        </w:rPr>
      </w:pPr>
      <w:r>
        <w:rPr>
          <w:rFonts w:ascii="Times New Roman" w:hAnsi="Times New Roman"/>
          <w:b/>
        </w:rPr>
      </w:r>
    </w:p>
    <w:p>
      <w:pPr>
        <w:pStyle w:val="ListParagraph"/>
        <w:ind w:left="360" w:hanging="0"/>
        <w:jc w:val="center"/>
        <w:rPr>
          <w:rFonts w:ascii="Times New Roman" w:hAnsi="Times New Roman"/>
          <w:b/>
          <w:b/>
        </w:rPr>
      </w:pPr>
      <w:r>
        <w:rPr>
          <w:rFonts w:ascii="Times New Roman" w:hAnsi="Times New Roman"/>
          <w:b/>
        </w:rPr>
        <w:t>ANEXO III</w:t>
      </w:r>
    </w:p>
    <w:p>
      <w:pPr>
        <w:pStyle w:val="ListParagraph"/>
        <w:ind w:left="360" w:hanging="0"/>
        <w:jc w:val="center"/>
        <w:rPr>
          <w:rFonts w:ascii="Times New Roman" w:hAnsi="Times New Roman"/>
          <w:b/>
          <w:b/>
        </w:rPr>
      </w:pPr>
      <w:r>
        <w:rPr>
          <w:rFonts w:ascii="Times New Roman" w:hAnsi="Times New Roman"/>
          <w:b/>
        </w:rPr>
      </w:r>
    </w:p>
    <w:p>
      <w:pPr>
        <w:pStyle w:val="ListParagraph"/>
        <w:ind w:left="360" w:hanging="0"/>
        <w:jc w:val="center"/>
        <w:rPr>
          <w:rFonts w:ascii="Times New Roman" w:hAnsi="Times New Roman"/>
          <w:b/>
          <w:b/>
        </w:rPr>
      </w:pPr>
      <w:r>
        <w:rPr>
          <w:rFonts w:ascii="Times New Roman" w:hAnsi="Times New Roman"/>
          <w:b/>
        </w:rPr>
        <w:t xml:space="preserve">PLANTA BAIXA </w:t>
      </w:r>
    </w:p>
    <w:p>
      <w:pPr>
        <w:pStyle w:val="ListParagraph"/>
        <w:ind w:left="360" w:hanging="0"/>
        <w:jc w:val="center"/>
        <w:rPr>
          <w:rFonts w:ascii="Times New Roman" w:hAnsi="Times New Roman"/>
          <w:b/>
          <w:b/>
        </w:rPr>
      </w:pPr>
      <w:r>
        <w:rPr>
          <w:rFonts w:ascii="Times New Roman" w:hAnsi="Times New Roman"/>
          <w:b/>
        </w:rPr>
      </w:r>
    </w:p>
    <w:p>
      <w:pPr>
        <w:pStyle w:val="ListParagraph"/>
        <w:ind w:left="360" w:hanging="0"/>
        <w:jc w:val="center"/>
        <w:rPr>
          <w:rFonts w:ascii="Times New Roman" w:hAnsi="Times New Roman"/>
          <w:b/>
          <w:b/>
        </w:rPr>
      </w:pPr>
      <w:r>
        <w:rPr>
          <w:rFonts w:ascii="Times New Roman" w:hAnsi="Times New Roman"/>
          <w:b/>
        </w:rPr>
      </w:r>
    </w:p>
    <w:p>
      <w:pPr>
        <w:pStyle w:val="ListParagraph"/>
        <w:ind w:left="360" w:hanging="0"/>
        <w:jc w:val="center"/>
        <w:rPr>
          <w:rFonts w:ascii="Times New Roman" w:hAnsi="Times New Roman"/>
          <w:b/>
          <w:b/>
        </w:rPr>
      </w:pPr>
      <w:r>
        <w:rPr>
          <w:rFonts w:ascii="Times New Roman" w:hAnsi="Times New Roman"/>
          <w:b/>
        </w:rPr>
        <w:commentReference w:id="1"/>
      </w:r>
    </w:p>
    <w:p>
      <w:pPr>
        <w:pStyle w:val="ListParagraph"/>
        <w:ind w:left="360" w:hanging="0"/>
        <w:jc w:val="center"/>
        <w:rPr>
          <w:rFonts w:ascii="Times New Roman" w:hAnsi="Times New Roman"/>
          <w:b/>
          <w:b/>
        </w:rPr>
      </w:pPr>
      <w:r>
        <w:rPr>
          <w:rFonts w:ascii="Times New Roman" w:hAnsi="Times New Roman"/>
          <w:b/>
        </w:rPr>
      </w:r>
    </w:p>
    <w:p>
      <w:pPr>
        <w:pStyle w:val="ListParagraph"/>
        <w:ind w:left="360" w:hanging="0"/>
        <w:jc w:val="center"/>
        <w:rPr>
          <w:rFonts w:ascii="Times New Roman" w:hAnsi="Times New Roman"/>
          <w:b/>
          <w:b/>
        </w:rPr>
      </w:pPr>
      <w:r>
        <w:rPr>
          <w:rFonts w:ascii="Times New Roman" w:hAnsi="Times New Roman"/>
          <w:b/>
        </w:rPr>
      </w:r>
    </w:p>
    <w:p>
      <w:pPr>
        <w:pStyle w:val="ListParagraph"/>
        <w:ind w:left="360" w:hanging="0"/>
        <w:jc w:val="center"/>
        <w:rPr>
          <w:rFonts w:ascii="Times New Roman" w:hAnsi="Times New Roman"/>
          <w:b/>
          <w:b/>
        </w:rPr>
      </w:pPr>
      <w:r>
        <w:rPr>
          <w:rFonts w:ascii="Times New Roman" w:hAnsi="Times New Roman"/>
          <w:b/>
        </w:rPr>
      </w:r>
    </w:p>
    <w:p>
      <w:pPr>
        <w:pStyle w:val="ListParagraph"/>
        <w:ind w:left="360" w:hanging="0"/>
        <w:jc w:val="center"/>
        <w:rPr>
          <w:rFonts w:ascii="Times New Roman" w:hAnsi="Times New Roman"/>
          <w:b/>
          <w:b/>
        </w:rPr>
      </w:pPr>
      <w:r>
        <w:rPr>
          <w:rFonts w:ascii="Times New Roman" w:hAnsi="Times New Roman"/>
          <w:b/>
        </w:rPr>
      </w:r>
    </w:p>
    <w:p>
      <w:pPr>
        <w:pStyle w:val="ListParagraph"/>
        <w:ind w:left="360" w:hanging="0"/>
        <w:jc w:val="center"/>
        <w:rPr>
          <w:rFonts w:ascii="Times New Roman" w:hAnsi="Times New Roman"/>
          <w:b/>
          <w:b/>
        </w:rPr>
      </w:pPr>
      <w:r>
        <w:rPr>
          <w:rFonts w:ascii="Times New Roman" w:hAnsi="Times New Roman"/>
          <w:b/>
        </w:rPr>
      </w:r>
      <w:r>
        <w:br w:type="page"/>
      </w:r>
    </w:p>
    <w:p>
      <w:pPr>
        <w:pStyle w:val="Normal"/>
        <w:spacing w:lineRule="auto" w:line="240" w:before="0" w:after="80"/>
        <w:jc w:val="center"/>
        <w:rPr>
          <w:rFonts w:ascii="Times New Roman" w:hAnsi="Times New Roman" w:eastAsia="Times New Roman"/>
          <w:b/>
          <w:b/>
          <w:bCs/>
          <w:sz w:val="24"/>
          <w:szCs w:val="24"/>
        </w:rPr>
      </w:pPr>
      <w:r>
        <w:rPr>
          <w:rFonts w:eastAsia="Times New Roman" w:ascii="Times New Roman" w:hAnsi="Times New Roman"/>
          <w:b/>
          <w:bCs/>
          <w:sz w:val="24"/>
          <w:szCs w:val="24"/>
        </w:rPr>
        <w:t>ANEXO IV</w:t>
      </w:r>
    </w:p>
    <w:p>
      <w:pPr>
        <w:pStyle w:val="Normal"/>
        <w:spacing w:lineRule="auto" w:line="240" w:beforeAutospacing="1" w:afterAutospacing="1"/>
        <w:contextualSpacing/>
        <w:jc w:val="both"/>
        <w:rPr>
          <w:rFonts w:ascii="Times New Roman" w:hAnsi="Times New Roman" w:eastAsia="ArialMT"/>
          <w:b/>
          <w:b/>
          <w:sz w:val="24"/>
          <w:szCs w:val="24"/>
        </w:rPr>
      </w:pPr>
      <w:r>
        <w:rPr>
          <w:rFonts w:eastAsia="ArialMT" w:ascii="Times New Roman" w:hAnsi="Times New Roman"/>
          <w:b/>
          <w:sz w:val="24"/>
          <w:szCs w:val="24"/>
        </w:rPr>
      </w:r>
    </w:p>
    <w:p>
      <w:pPr>
        <w:pStyle w:val="Normal"/>
        <w:spacing w:lineRule="auto" w:line="240" w:beforeAutospacing="1" w:afterAutospacing="1"/>
        <w:contextualSpacing/>
        <w:jc w:val="center"/>
        <w:rPr>
          <w:rFonts w:ascii="Times New Roman" w:hAnsi="Times New Roman" w:eastAsia="ArialMT"/>
          <w:b/>
          <w:b/>
          <w:color w:val="FF0000"/>
          <w:sz w:val="24"/>
          <w:szCs w:val="24"/>
        </w:rPr>
      </w:pPr>
      <w:r>
        <w:rPr>
          <w:rFonts w:eastAsia="ArialMT" w:ascii="Times New Roman" w:hAnsi="Times New Roman"/>
          <w:b/>
          <w:sz w:val="24"/>
          <w:szCs w:val="24"/>
        </w:rPr>
        <w:t>MODELO DE DECLARAÇÃO DE VISITA TÉCNICA</w:t>
      </w:r>
    </w:p>
    <w:p>
      <w:pPr>
        <w:pStyle w:val="Normal"/>
        <w:spacing w:lineRule="auto" w:line="240" w:before="0" w:after="80"/>
        <w:jc w:val="both"/>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ind w:firstLine="720"/>
        <w:jc w:val="both"/>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ind w:firstLine="720"/>
        <w:jc w:val="both"/>
        <w:rPr>
          <w:rFonts w:ascii="Times New Roman" w:hAnsi="Times New Roman" w:eastAsia="ArialMT"/>
          <w:sz w:val="24"/>
          <w:szCs w:val="24"/>
        </w:rPr>
      </w:pPr>
      <w:r>
        <w:rPr>
          <w:rFonts w:eastAsia="ArialMT" w:ascii="Times New Roman" w:hAnsi="Times New Roman"/>
          <w:sz w:val="24"/>
          <w:szCs w:val="24"/>
        </w:rPr>
        <w:t xml:space="preserve">Eu, XXXXXXXXXXXXXXXXXXXXX (Representante Legal devidamente qualificado) da empresa XXXXXXXXXXXXXXXXX, DECLARO, para os devidos fins, que visitei o local que será concedido para exploração e operação comercial de serviços de reprografia, impressão, digitalização e encadernação, no Centro </w:t>
      </w:r>
      <w:r>
        <w:rPr>
          <w:rFonts w:eastAsia="Calibri" w:cs="Verdana" w:ascii="Times New Roman" w:hAnsi="Times New Roman"/>
          <w:b w:val="false"/>
          <w:bCs w:val="false"/>
          <w:color w:val="000000"/>
          <w:kern w:val="0"/>
          <w:sz w:val="23"/>
          <w:szCs w:val="23"/>
          <w:highlight w:val="yellow"/>
          <w:lang w:val="pt-BR" w:eastAsia="pt-BR" w:bidi="ar-SA"/>
        </w:rPr>
        <w:t xml:space="preserve">XX  </w:t>
      </w:r>
      <w:r>
        <w:rPr>
          <w:rFonts w:eastAsia="ArialMT" w:ascii="Times New Roman" w:hAnsi="Times New Roman"/>
          <w:sz w:val="24"/>
          <w:szCs w:val="24"/>
        </w:rPr>
        <w:t>da</w:t>
      </w:r>
      <w:r>
        <w:rPr>
          <w:rFonts w:eastAsia="ArialMT" w:ascii="Times New Roman" w:hAnsi="Times New Roman"/>
          <w:b/>
          <w:sz w:val="24"/>
          <w:szCs w:val="24"/>
        </w:rPr>
        <w:t xml:space="preserve"> </w:t>
      </w:r>
      <w:r>
        <w:rPr>
          <w:rFonts w:eastAsia="ArialMT" w:ascii="Times New Roman" w:hAnsi="Times New Roman"/>
          <w:sz w:val="24"/>
          <w:szCs w:val="24"/>
        </w:rPr>
        <w:t>Universidade Federal de Santa Catarina – UFSC, Campus Trindade, tendo tomado conhecimento de todas as peculiaridades e características do local, inclusive, das possíveis dificuldades que possam onerar futuramente nossa empresa na execução do mesmo.</w:t>
      </w:r>
    </w:p>
    <w:p>
      <w:pPr>
        <w:pStyle w:val="Normal"/>
        <w:spacing w:lineRule="auto" w:line="240" w:before="0" w:after="80"/>
        <w:ind w:firstLine="720"/>
        <w:jc w:val="both"/>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ind w:firstLine="720"/>
        <w:jc w:val="both"/>
        <w:rPr>
          <w:rFonts w:ascii="Times New Roman" w:hAnsi="Times New Roman" w:eastAsia="ArialMT"/>
          <w:sz w:val="24"/>
          <w:szCs w:val="24"/>
        </w:rPr>
      </w:pPr>
      <w:r>
        <w:rPr>
          <w:rFonts w:eastAsia="ArialMT" w:ascii="Times New Roman" w:hAnsi="Times New Roman"/>
          <w:sz w:val="24"/>
          <w:szCs w:val="24"/>
        </w:rPr>
        <w:t>Assim, declaro que estou ciente de que a oferta proposta pela empresa está de acordo com as exigências do edital e seus anexos, e assim, dentro desta proposta, assumimos o compromisso de honrar plenamente todas as exigências do instrumento convocatório n.º (citar o número do edital), sem quaisquer direitos a reclamações futuras, sob a alegação de quaisquer desconhecimentos quanto às particularidades do objeto.</w:t>
      </w:r>
    </w:p>
    <w:p>
      <w:pPr>
        <w:pStyle w:val="Normal"/>
        <w:spacing w:lineRule="auto" w:line="240" w:before="0" w:after="80"/>
        <w:ind w:firstLine="720"/>
        <w:jc w:val="both"/>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jc w:val="both"/>
        <w:rPr>
          <w:rFonts w:ascii="Times New Roman" w:hAnsi="Times New Roman" w:eastAsia="ArialMT"/>
          <w:sz w:val="24"/>
          <w:szCs w:val="24"/>
        </w:rPr>
      </w:pPr>
      <w:r>
        <w:rPr>
          <w:rFonts w:eastAsia="Times New Roman" w:ascii="Times New Roman" w:hAnsi="Times New Roman"/>
          <w:sz w:val="24"/>
          <w:szCs w:val="24"/>
        </w:rPr>
        <w:tab/>
        <w:t>DECLARO, também, estar ciente de que os quantitativos no orçamento apresentado utilizados na elaboração da proposta são de nossa inteira responsabilidade, não cabendo qualquer tipo de reclamação posterior por parte da empresa quanto a estes valores.</w:t>
      </w:r>
    </w:p>
    <w:p>
      <w:pPr>
        <w:pStyle w:val="Normal"/>
        <w:spacing w:lineRule="auto" w:line="240" w:before="0" w:after="80"/>
        <w:jc w:val="both"/>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jc w:val="both"/>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jc w:val="center"/>
        <w:rPr>
          <w:rFonts w:ascii="Times New Roman" w:hAnsi="Times New Roman" w:eastAsia="ArialMT"/>
          <w:sz w:val="24"/>
          <w:szCs w:val="24"/>
        </w:rPr>
      </w:pPr>
      <w:r>
        <w:rPr>
          <w:rFonts w:eastAsia="ArialMT" w:ascii="Times New Roman" w:hAnsi="Times New Roman"/>
          <w:sz w:val="24"/>
          <w:szCs w:val="24"/>
        </w:rPr>
        <w:t>XXXXXXXXX, XX de XXXXXXX de XXXX.</w:t>
      </w:r>
    </w:p>
    <w:p>
      <w:pPr>
        <w:pStyle w:val="Normal"/>
        <w:spacing w:lineRule="auto" w:line="240" w:before="0" w:after="80"/>
        <w:jc w:val="center"/>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jc w:val="center"/>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jc w:val="center"/>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jc w:val="center"/>
        <w:rPr>
          <w:rFonts w:ascii="Times New Roman" w:hAnsi="Times New Roman" w:eastAsia="ArialMT"/>
          <w:sz w:val="24"/>
          <w:szCs w:val="24"/>
        </w:rPr>
      </w:pPr>
      <w:r>
        <w:rPr>
          <w:rFonts w:eastAsia="ArialMT" w:ascii="Times New Roman" w:hAnsi="Times New Roman"/>
          <w:sz w:val="24"/>
          <w:szCs w:val="24"/>
        </w:rPr>
        <w:t>________________________________________</w:t>
      </w:r>
    </w:p>
    <w:p>
      <w:pPr>
        <w:pStyle w:val="Normal"/>
        <w:spacing w:lineRule="auto" w:line="240" w:before="0" w:after="80"/>
        <w:jc w:val="center"/>
        <w:rPr>
          <w:rFonts w:ascii="Times New Roman" w:hAnsi="Times New Roman" w:eastAsia="ArialMT"/>
          <w:b/>
          <w:b/>
          <w:sz w:val="24"/>
          <w:szCs w:val="24"/>
        </w:rPr>
      </w:pPr>
      <w:r>
        <w:rPr>
          <w:rFonts w:eastAsia="ArialMT" w:ascii="Times New Roman" w:hAnsi="Times New Roman"/>
          <w:b/>
          <w:sz w:val="24"/>
          <w:szCs w:val="24"/>
        </w:rPr>
        <w:t>NOME (RESPONSÁVEL TÉCNICO OU REPRESENTANTE LEGAL)</w:t>
      </w:r>
    </w:p>
    <w:p>
      <w:pPr>
        <w:pStyle w:val="Normal"/>
        <w:spacing w:lineRule="auto" w:line="240" w:before="0" w:after="80"/>
        <w:jc w:val="center"/>
        <w:rPr>
          <w:rFonts w:ascii="Times New Roman" w:hAnsi="Times New Roman" w:eastAsia="Times New Roman"/>
          <w:b/>
          <w:b/>
          <w:sz w:val="24"/>
        </w:rPr>
      </w:pPr>
      <w:r>
        <w:rPr>
          <w:rFonts w:eastAsia="Times New Roman" w:ascii="Times New Roman" w:hAnsi="Times New Roman"/>
          <w:b/>
          <w:sz w:val="24"/>
        </w:rPr>
        <w:t>CPF</w:t>
      </w:r>
      <w:r>
        <w:rPr>
          <w:rFonts w:eastAsia="ArialMT" w:ascii="Times New Roman" w:hAnsi="Times New Roman"/>
          <w:b/>
          <w:sz w:val="24"/>
          <w:szCs w:val="24"/>
        </w:rPr>
        <w:t xml:space="preserve"> nº: </w:t>
      </w:r>
    </w:p>
    <w:p>
      <w:pPr>
        <w:pStyle w:val="Normal"/>
        <w:spacing w:lineRule="auto" w:line="240" w:before="0" w:after="80"/>
        <w:jc w:val="center"/>
        <w:rPr>
          <w:rFonts w:ascii="Times New Roman" w:hAnsi="Times New Roman" w:eastAsia="ArialMT"/>
          <w:b/>
          <w:b/>
          <w:sz w:val="24"/>
          <w:szCs w:val="24"/>
        </w:rPr>
      </w:pPr>
      <w:r>
        <w:rPr>
          <w:rFonts w:eastAsia="ArialMT" w:ascii="Times New Roman" w:hAnsi="Times New Roman"/>
          <w:b/>
          <w:sz w:val="24"/>
          <w:szCs w:val="24"/>
        </w:rPr>
        <w:t>RG nº:</w:t>
      </w:r>
    </w:p>
    <w:p>
      <w:pPr>
        <w:pStyle w:val="Normal"/>
        <w:spacing w:lineRule="auto" w:line="240" w:before="0" w:after="80"/>
        <w:jc w:val="center"/>
        <w:rPr>
          <w:rFonts w:ascii="Times New Roman" w:hAnsi="Times New Roman" w:eastAsia="Times New Roman"/>
          <w:bCs/>
          <w:sz w:val="24"/>
          <w:szCs w:val="24"/>
        </w:rPr>
      </w:pPr>
      <w:r>
        <w:rPr>
          <w:rFonts w:eastAsia="ArialMT" w:ascii="Times New Roman" w:hAnsi="Times New Roman"/>
          <w:sz w:val="24"/>
          <w:szCs w:val="24"/>
        </w:rPr>
        <w:t>(assinatura e carimbo constando RG ou CPF)</w:t>
      </w:r>
    </w:p>
    <w:p>
      <w:pPr>
        <w:pStyle w:val="Normal"/>
        <w:spacing w:lineRule="auto" w:line="240" w:before="0" w:after="80"/>
        <w:jc w:val="both"/>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jc w:val="both"/>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jc w:val="both"/>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jc w:val="both"/>
        <w:rPr>
          <w:rFonts w:ascii="Times New Roman" w:hAnsi="Times New Roman" w:eastAsia="Times New Roman"/>
          <w:b/>
          <w:b/>
          <w:bCs/>
          <w:sz w:val="24"/>
          <w:szCs w:val="24"/>
        </w:rPr>
      </w:pPr>
      <w:r>
        <w:rPr>
          <w:rFonts w:eastAsia="Times New Roman" w:ascii="Times New Roman" w:hAnsi="Times New Roman"/>
          <w:b/>
          <w:bCs/>
          <w:sz w:val="24"/>
          <w:szCs w:val="24"/>
        </w:rPr>
        <w:t>Observação: Esta declaração deverá ser emitida preferencialmente em papel que identifique o licitante.</w:t>
      </w:r>
      <w:r>
        <w:br w:type="page"/>
      </w:r>
    </w:p>
    <w:p>
      <w:pPr>
        <w:pStyle w:val="Normal"/>
        <w:spacing w:lineRule="auto" w:line="240" w:before="0" w:after="80"/>
        <w:jc w:val="center"/>
        <w:rPr>
          <w:rFonts w:ascii="Times New Roman" w:hAnsi="Times New Roman" w:eastAsia="Times New Roman"/>
          <w:b/>
          <w:b/>
          <w:bCs/>
          <w:sz w:val="24"/>
          <w:szCs w:val="24"/>
        </w:rPr>
      </w:pPr>
      <w:r>
        <w:rPr>
          <w:rFonts w:eastAsia="Times New Roman" w:ascii="Times New Roman" w:hAnsi="Times New Roman"/>
          <w:b/>
          <w:bCs/>
          <w:sz w:val="24"/>
          <w:szCs w:val="24"/>
        </w:rPr>
        <w:t>ANEXO V</w:t>
      </w:r>
    </w:p>
    <w:p>
      <w:pPr>
        <w:pStyle w:val="Normal"/>
        <w:spacing w:lineRule="auto" w:line="240" w:before="0" w:after="80"/>
        <w:jc w:val="center"/>
        <w:rPr>
          <w:rFonts w:ascii="Times New Roman" w:hAnsi="Times New Roman" w:eastAsia="Times New Roman"/>
          <w:b/>
          <w:b/>
          <w:bCs/>
          <w:sz w:val="24"/>
          <w:szCs w:val="24"/>
        </w:rPr>
      </w:pPr>
      <w:r>
        <w:rPr>
          <w:rFonts w:eastAsia="Times New Roman" w:ascii="Times New Roman" w:hAnsi="Times New Roman"/>
          <w:b/>
          <w:bCs/>
          <w:sz w:val="24"/>
          <w:szCs w:val="24"/>
        </w:rPr>
      </w:r>
    </w:p>
    <w:p>
      <w:pPr>
        <w:pStyle w:val="Normal"/>
        <w:spacing w:lineRule="auto" w:line="240" w:beforeAutospacing="1" w:afterAutospacing="1"/>
        <w:contextualSpacing/>
        <w:jc w:val="center"/>
        <w:rPr>
          <w:rFonts w:ascii="Times New Roman" w:hAnsi="Times New Roman" w:eastAsia="ArialMT"/>
          <w:b/>
          <w:b/>
          <w:sz w:val="24"/>
          <w:szCs w:val="24"/>
        </w:rPr>
      </w:pPr>
      <w:r>
        <w:rPr>
          <w:rFonts w:eastAsia="ArialMT" w:ascii="Times New Roman" w:hAnsi="Times New Roman"/>
          <w:b/>
          <w:sz w:val="24"/>
          <w:szCs w:val="24"/>
        </w:rPr>
        <w:t>MODELO DE DECLARAÇÃO DE NÃO VISITA</w:t>
      </w:r>
    </w:p>
    <w:p>
      <w:pPr>
        <w:pStyle w:val="Normal"/>
        <w:spacing w:lineRule="auto" w:line="240" w:beforeAutospacing="1" w:afterAutospacing="1"/>
        <w:contextualSpacing/>
        <w:jc w:val="center"/>
        <w:rPr>
          <w:rFonts w:ascii="Times New Roman" w:hAnsi="Times New Roman" w:eastAsia="ArialMT"/>
          <w:b/>
          <w:b/>
          <w:sz w:val="24"/>
          <w:szCs w:val="24"/>
        </w:rPr>
      </w:pPr>
      <w:r>
        <w:rPr>
          <w:rFonts w:eastAsia="ArialMT" w:ascii="Times New Roman" w:hAnsi="Times New Roman"/>
          <w:b/>
          <w:sz w:val="24"/>
          <w:szCs w:val="24"/>
        </w:rPr>
      </w:r>
    </w:p>
    <w:p>
      <w:pPr>
        <w:pStyle w:val="Normal"/>
        <w:spacing w:lineRule="auto" w:line="240" w:before="0" w:after="80"/>
        <w:ind w:firstLine="720"/>
        <w:jc w:val="both"/>
        <w:rPr>
          <w:rFonts w:ascii="Times New Roman" w:hAnsi="Times New Roman" w:eastAsia="ArialMT"/>
          <w:sz w:val="24"/>
          <w:szCs w:val="24"/>
        </w:rPr>
      </w:pPr>
      <w:r>
        <w:rPr>
          <w:rFonts w:eastAsia="ArialMT" w:ascii="Times New Roman" w:hAnsi="Times New Roman"/>
          <w:sz w:val="24"/>
          <w:szCs w:val="24"/>
        </w:rPr>
        <w:t xml:space="preserve">Eu, XXXXXXXXXXXXXXXXXXXXX (Representante Legal devidamente qualificado) da empresa XXXXXXXXXXXXXXXXX, DECLARO, para os devidos fins, que </w:t>
      </w:r>
      <w:r>
        <w:rPr>
          <w:rFonts w:eastAsia="ArialMT" w:ascii="Times New Roman" w:hAnsi="Times New Roman"/>
          <w:b/>
          <w:sz w:val="24"/>
          <w:szCs w:val="24"/>
          <w:u w:val="single"/>
        </w:rPr>
        <w:t>NÃO</w:t>
      </w:r>
      <w:r>
        <w:rPr>
          <w:rFonts w:eastAsia="ArialMT" w:ascii="Times New Roman" w:hAnsi="Times New Roman"/>
          <w:sz w:val="24"/>
          <w:szCs w:val="24"/>
        </w:rPr>
        <w:t xml:space="preserve"> visitei o local que será concedido para exploração e operação comercial de serviços de reprografia, impressão, digitalização e encadernação, no Centro </w:t>
      </w:r>
      <w:r>
        <w:rPr>
          <w:rFonts w:eastAsia="Calibri" w:cs="Verdana" w:ascii="Times New Roman" w:hAnsi="Times New Roman"/>
          <w:b w:val="false"/>
          <w:bCs w:val="false"/>
          <w:color w:val="000000"/>
          <w:kern w:val="0"/>
          <w:sz w:val="23"/>
          <w:szCs w:val="23"/>
          <w:highlight w:val="yellow"/>
          <w:lang w:val="pt-BR" w:eastAsia="pt-BR" w:bidi="ar-SA"/>
        </w:rPr>
        <w:t>XX</w:t>
      </w:r>
      <w:r>
        <w:rPr>
          <w:rFonts w:eastAsia="ArialMT" w:ascii="Times New Roman" w:hAnsi="Times New Roman"/>
          <w:sz w:val="24"/>
          <w:szCs w:val="24"/>
        </w:rPr>
        <w:t xml:space="preserve"> da</w:t>
      </w:r>
      <w:r>
        <w:rPr>
          <w:rFonts w:eastAsia="ArialMT" w:ascii="Times New Roman" w:hAnsi="Times New Roman"/>
          <w:b/>
          <w:sz w:val="24"/>
          <w:szCs w:val="24"/>
        </w:rPr>
        <w:t xml:space="preserve"> </w:t>
      </w:r>
      <w:r>
        <w:rPr>
          <w:rFonts w:eastAsia="ArialMT" w:ascii="Times New Roman" w:hAnsi="Times New Roman"/>
          <w:sz w:val="24"/>
          <w:szCs w:val="24"/>
        </w:rPr>
        <w:t xml:space="preserve">Universidade Federal de Santa Catarina – UFSC, Campus Trindade, por opção própria, assumindo assim que </w:t>
      </w:r>
      <w:r>
        <w:rPr>
          <w:rFonts w:eastAsia="ArialMT" w:ascii="Times New Roman" w:hAnsi="Times New Roman"/>
          <w:b/>
          <w:sz w:val="24"/>
          <w:szCs w:val="24"/>
        </w:rPr>
        <w:t xml:space="preserve">CONCORDO </w:t>
      </w:r>
      <w:r>
        <w:rPr>
          <w:rFonts w:eastAsia="ArialMT" w:ascii="Times New Roman" w:hAnsi="Times New Roman"/>
          <w:sz w:val="24"/>
          <w:szCs w:val="24"/>
        </w:rPr>
        <w:t xml:space="preserve">com todas as condições estabelecidas no Edital e seus Anexos, e que ainda, assumo toda e qualquer responsabilidade pela ocorrência de eventuais prejuízos em virtude de sua omissão na verificação das condições do local de execução do objeto do certame. </w:t>
      </w:r>
    </w:p>
    <w:p>
      <w:pPr>
        <w:pStyle w:val="Normal"/>
        <w:spacing w:lineRule="auto" w:line="240" w:before="0" w:after="80"/>
        <w:jc w:val="both"/>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ind w:firstLine="720"/>
        <w:jc w:val="both"/>
        <w:rPr>
          <w:rFonts w:ascii="Times New Roman" w:hAnsi="Times New Roman" w:eastAsia="ArialMT"/>
          <w:sz w:val="24"/>
          <w:szCs w:val="24"/>
        </w:rPr>
      </w:pPr>
      <w:r>
        <w:rPr>
          <w:rFonts w:eastAsia="ArialMT" w:ascii="Times New Roman" w:hAnsi="Times New Roman"/>
          <w:sz w:val="24"/>
          <w:szCs w:val="24"/>
        </w:rPr>
        <w:t>Assim, declaro que estou ciente de que a oferta proposta pela empresa está de acordo com as exigências do edital e seus anexos, e assim, dentro desta proposta, assumimos o compromisso de honrar plenamente todas as exigências do instrumento convocatório n.º (citar o número do edital), sem quaisquer direitos a reclamações futuras, sob a alegação de quaisquer desconhecimentos quanto às particularidades do objeto.</w:t>
      </w:r>
    </w:p>
    <w:p>
      <w:pPr>
        <w:pStyle w:val="Normal"/>
        <w:spacing w:lineRule="auto" w:line="240" w:before="0" w:after="80"/>
        <w:jc w:val="both"/>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jc w:val="both"/>
        <w:rPr>
          <w:rFonts w:ascii="Times New Roman" w:hAnsi="Times New Roman" w:eastAsia="ArialMT"/>
          <w:sz w:val="24"/>
          <w:szCs w:val="24"/>
        </w:rPr>
      </w:pPr>
      <w:r>
        <w:rPr>
          <w:rFonts w:eastAsia="Times New Roman" w:ascii="Times New Roman" w:hAnsi="Times New Roman"/>
          <w:sz w:val="24"/>
          <w:szCs w:val="24"/>
        </w:rPr>
        <w:tab/>
        <w:t>DECLARO, também, estar ciente de que os quantitativos no orçamento apresentado utilizados na elaboração da proposta são de nossa inteira responsabilidade, não cabendo qualquer tipo de reclamação posterior por parte da empresa quanto a estes valores.</w:t>
      </w:r>
    </w:p>
    <w:p>
      <w:pPr>
        <w:pStyle w:val="Normal"/>
        <w:spacing w:lineRule="auto" w:line="240" w:before="0" w:after="80"/>
        <w:jc w:val="both"/>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jc w:val="both"/>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jc w:val="both"/>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jc w:val="center"/>
        <w:rPr>
          <w:rFonts w:ascii="Times New Roman" w:hAnsi="Times New Roman" w:eastAsia="ArialMT"/>
          <w:sz w:val="24"/>
          <w:szCs w:val="24"/>
        </w:rPr>
      </w:pPr>
      <w:r>
        <w:rPr>
          <w:rFonts w:eastAsia="ArialMT" w:ascii="Times New Roman" w:hAnsi="Times New Roman"/>
          <w:sz w:val="24"/>
          <w:szCs w:val="24"/>
        </w:rPr>
        <w:t>XXXXXXXXX, XX de XXXXXXX de XXXX.</w:t>
      </w:r>
    </w:p>
    <w:p>
      <w:pPr>
        <w:pStyle w:val="Normal"/>
        <w:spacing w:lineRule="auto" w:line="240" w:before="0" w:after="80"/>
        <w:jc w:val="center"/>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jc w:val="center"/>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jc w:val="center"/>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jc w:val="center"/>
        <w:rPr>
          <w:rFonts w:ascii="Times New Roman" w:hAnsi="Times New Roman" w:eastAsia="ArialMT"/>
          <w:sz w:val="24"/>
          <w:szCs w:val="24"/>
        </w:rPr>
      </w:pPr>
      <w:r>
        <w:rPr>
          <w:rFonts w:eastAsia="ArialMT" w:ascii="Times New Roman" w:hAnsi="Times New Roman"/>
          <w:sz w:val="24"/>
          <w:szCs w:val="24"/>
        </w:rPr>
        <w:t>________________________________________</w:t>
      </w:r>
    </w:p>
    <w:p>
      <w:pPr>
        <w:pStyle w:val="Normal"/>
        <w:spacing w:lineRule="auto" w:line="240" w:before="0" w:after="80"/>
        <w:jc w:val="center"/>
        <w:rPr>
          <w:rFonts w:ascii="Times New Roman" w:hAnsi="Times New Roman" w:eastAsia="ArialMT"/>
          <w:b/>
          <w:b/>
          <w:sz w:val="24"/>
          <w:szCs w:val="24"/>
        </w:rPr>
      </w:pPr>
      <w:r>
        <w:rPr>
          <w:rFonts w:eastAsia="ArialMT" w:ascii="Times New Roman" w:hAnsi="Times New Roman"/>
          <w:b/>
          <w:sz w:val="24"/>
          <w:szCs w:val="24"/>
        </w:rPr>
        <w:t>NOME (RESPONSÁVEL TÉCNICO OU REPRESENTANTE LEGAL)</w:t>
      </w:r>
    </w:p>
    <w:p>
      <w:pPr>
        <w:pStyle w:val="Normal"/>
        <w:spacing w:lineRule="auto" w:line="240" w:before="0" w:after="80"/>
        <w:jc w:val="center"/>
        <w:rPr>
          <w:rFonts w:ascii="Times New Roman" w:hAnsi="Times New Roman" w:eastAsia="ArialMT"/>
          <w:b/>
          <w:b/>
          <w:sz w:val="24"/>
          <w:szCs w:val="24"/>
        </w:rPr>
      </w:pPr>
      <w:r>
        <w:rPr>
          <w:rFonts w:eastAsia="ArialMT" w:ascii="Times New Roman" w:hAnsi="Times New Roman"/>
          <w:b/>
          <w:sz w:val="24"/>
          <w:szCs w:val="24"/>
        </w:rPr>
        <w:t xml:space="preserve">CPF nº: </w:t>
      </w:r>
    </w:p>
    <w:p>
      <w:pPr>
        <w:pStyle w:val="Normal"/>
        <w:spacing w:lineRule="auto" w:line="240" w:before="0" w:after="80"/>
        <w:jc w:val="center"/>
        <w:rPr>
          <w:rFonts w:ascii="Times New Roman" w:hAnsi="Times New Roman" w:eastAsia="ArialMT"/>
          <w:b/>
          <w:b/>
          <w:sz w:val="24"/>
          <w:szCs w:val="24"/>
        </w:rPr>
      </w:pPr>
      <w:r>
        <w:rPr>
          <w:rFonts w:eastAsia="ArialMT" w:ascii="Times New Roman" w:hAnsi="Times New Roman"/>
          <w:b/>
          <w:sz w:val="24"/>
          <w:szCs w:val="24"/>
        </w:rPr>
        <w:t>RG nº:</w:t>
      </w:r>
    </w:p>
    <w:p>
      <w:pPr>
        <w:pStyle w:val="Normal"/>
        <w:spacing w:lineRule="auto" w:line="240" w:before="0" w:after="80"/>
        <w:jc w:val="center"/>
        <w:rPr>
          <w:rFonts w:ascii="Times New Roman" w:hAnsi="Times New Roman" w:eastAsia="Times New Roman"/>
          <w:bCs/>
          <w:sz w:val="24"/>
          <w:szCs w:val="24"/>
        </w:rPr>
      </w:pPr>
      <w:r>
        <w:rPr>
          <w:rFonts w:eastAsia="ArialMT" w:ascii="Times New Roman" w:hAnsi="Times New Roman"/>
          <w:sz w:val="24"/>
          <w:szCs w:val="24"/>
        </w:rPr>
        <w:t>(assinatura e carimbo constando RG ou CPF)</w:t>
      </w:r>
    </w:p>
    <w:p>
      <w:pPr>
        <w:pStyle w:val="Normal"/>
        <w:spacing w:lineRule="auto" w:line="240" w:before="0" w:after="80"/>
        <w:jc w:val="both"/>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jc w:val="both"/>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jc w:val="both"/>
        <w:rPr>
          <w:rFonts w:ascii="Times New Roman" w:hAnsi="Times New Roman" w:eastAsia="ArialMT"/>
          <w:sz w:val="24"/>
          <w:szCs w:val="24"/>
        </w:rPr>
      </w:pPr>
      <w:r>
        <w:rPr>
          <w:rFonts w:eastAsia="ArialMT" w:ascii="Times New Roman" w:hAnsi="Times New Roman"/>
          <w:sz w:val="24"/>
          <w:szCs w:val="24"/>
        </w:rPr>
      </w:r>
    </w:p>
    <w:p>
      <w:pPr>
        <w:pStyle w:val="Normal"/>
        <w:spacing w:lineRule="auto" w:line="240" w:before="0" w:after="80"/>
        <w:jc w:val="both"/>
        <w:rPr>
          <w:rFonts w:ascii="Times New Roman" w:hAnsi="Times New Roman"/>
          <w:b/>
          <w:b/>
        </w:rPr>
      </w:pPr>
      <w:r>
        <w:rPr>
          <w:rFonts w:eastAsia="Times New Roman" w:ascii="Times New Roman" w:hAnsi="Times New Roman"/>
          <w:b/>
          <w:bCs/>
          <w:sz w:val="24"/>
          <w:szCs w:val="24"/>
        </w:rPr>
        <w:t>Observação: Esta declaração deverá ser emitida preferencialmente em papel que identifique o licitante.</w:t>
      </w:r>
    </w:p>
    <w:sectPr>
      <w:footerReference w:type="default" r:id="rId5"/>
      <w:type w:val="nextPage"/>
      <w:pgSz w:w="11906" w:h="16838"/>
      <w:pgMar w:left="1701" w:right="1701" w:header="0" w:top="851" w:footer="708" w:bottom="1417" w:gutter="0"/>
      <w:pgNumType w:fmt="decimal"/>
      <w:formProt w:val="false"/>
      <w:textDirection w:val="lrTb"/>
      <w:docGrid w:type="default" w:linePitch="360" w:charSpace="0"/>
    </w:sectPr>
  </w:body>
</w:document>
</file>

<file path=word/comments.xml><?xml version="1.0" encoding="utf-8"?>
<w:comment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comment w:id="0" w:author="Autor desconhecido" w:date="2021-12-13T17:24:48Z" w:initials="">
    <w:p>
      <w:r>
        <w:rPr>
          <w:rFonts w:ascii="Calibri" w:hAnsi="Calibri" w:eastAsia="Calibri" w:cs="Times New Roman"/>
          <w:b w:val="false"/>
          <w:bCs w:val="false"/>
          <w:i w:val="false"/>
          <w:iCs w:val="false"/>
          <w:caps w:val="false"/>
          <w:smallCaps w:val="false"/>
          <w:strike w:val="false"/>
          <w:dstrike w:val="false"/>
          <w:outline w:val="false"/>
          <w:shadow w:val="false"/>
          <w:emboss w:val="false"/>
          <w:imprint w:val="false"/>
          <w:color w:val="auto"/>
          <w:spacing w:val="0"/>
          <w:w w:val="100"/>
          <w:kern w:val="0"/>
          <w:position w:val="0"/>
          <w:sz w:val="20"/>
          <w:sz w:val="20"/>
          <w:szCs w:val="20"/>
          <w:u w:val="none"/>
          <w:vertAlign w:val="baseline"/>
          <w:em w:val="none"/>
          <w:lang w:val="pt-BR" w:eastAsia="pt-BR" w:bidi="ar-SA"/>
        </w:rPr>
        <w:t>Incluir cabeçalho do setor.</w:t>
      </w:r>
    </w:p>
  </w:comment>
  <w:comment w:id="1" w:author="Autor desconhecido" w:date="2021-12-13T17:27:57Z" w:initials="">
    <w:p>
      <w:r>
        <w:rPr>
          <w:rFonts w:ascii="Calibri" w:hAnsi="Calibri" w:eastAsia="Calibri" w:cs="Times New Roman"/>
          <w:b w:val="false"/>
          <w:bCs w:val="false"/>
          <w:i w:val="false"/>
          <w:iCs w:val="false"/>
          <w:caps w:val="false"/>
          <w:smallCaps w:val="false"/>
          <w:strike w:val="false"/>
          <w:dstrike w:val="false"/>
          <w:outline w:val="false"/>
          <w:shadow w:val="false"/>
          <w:emboss w:val="false"/>
          <w:imprint w:val="false"/>
          <w:color w:val="auto"/>
          <w:spacing w:val="0"/>
          <w:w w:val="100"/>
          <w:kern w:val="0"/>
          <w:position w:val="0"/>
          <w:sz w:val="20"/>
          <w:sz w:val="20"/>
          <w:szCs w:val="20"/>
          <w:u w:val="none"/>
          <w:vertAlign w:val="baseline"/>
          <w:em w:val="none"/>
          <w:lang w:val="pt-BR" w:eastAsia="pt-BR" w:bidi="ar-SA"/>
        </w:rPr>
        <w:t>Incluir planta baixa legível.</w:t>
      </w:r>
    </w:p>
  </w:comment>
</w:comments>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Cambria">
    <w:charset w:val="00"/>
    <w:family w:val="roman"/>
    <w:pitch w:val="variable"/>
  </w:font>
  <w:font w:name="Tahoma">
    <w:charset w:val="00"/>
    <w:family w:val="roman"/>
    <w:pitch w:val="variable"/>
  </w:font>
  <w:font w:name="Liberation Sans">
    <w:altName w:val="Arial"/>
    <w:charset w:val="00"/>
    <w:family w:val="roman"/>
    <w:pitch w:val="variable"/>
  </w:font>
  <w:font w:name="Verdana">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Rodap"/>
      <w:jc w:val="center"/>
      <w:rPr/>
    </w:pPr>
    <w:r>
      <w:rPr/>
      <w:fldChar w:fldCharType="begin"/>
    </w:r>
    <w:r>
      <w:rPr/>
      <w:instrText> PAGE </w:instrText>
    </w:r>
    <w:r>
      <w:rPr/>
      <w:fldChar w:fldCharType="separate"/>
    </w:r>
    <w:r>
      <w:rPr/>
      <w:t>18</w:t>
    </w:r>
    <w:r>
      <w:rPr/>
      <w:fldChar w:fldCharType="end"/>
    </w:r>
  </w:p>
  <w:p>
    <w:pPr>
      <w:pStyle w:val="Rodap"/>
      <w:spacing w:before="0" w:after="200"/>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0"/>
        </w:tabs>
        <w:ind w:left="360" w:hanging="360"/>
      </w:pPr>
    </w:lvl>
    <w:lvl w:ilvl="1">
      <w:start w:val="1"/>
      <w:numFmt w:val="decimal"/>
      <w:lvlText w:val="%1.%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440" w:hanging="1440"/>
      </w:pPr>
    </w:lvl>
  </w:abstractNum>
  <w:abstractNum w:abstractNumId="2">
    <w:lvl w:ilvl="0">
      <w:start w:val="7"/>
      <w:numFmt w:val="decimal"/>
      <w:lvlText w:val="%1"/>
      <w:lvlJc w:val="left"/>
      <w:pPr>
        <w:tabs>
          <w:tab w:val="num" w:pos="0"/>
        </w:tabs>
        <w:ind w:left="360" w:hanging="360"/>
      </w:pPr>
    </w:lvl>
    <w:lvl w:ilvl="1">
      <w:start w:val="1"/>
      <w:numFmt w:val="decimal"/>
      <w:lvlText w:val="%1.%2"/>
      <w:lvlJc w:val="left"/>
      <w:pPr>
        <w:tabs>
          <w:tab w:val="num" w:pos="0"/>
        </w:tabs>
        <w:ind w:left="360" w:hanging="360"/>
      </w:pPr>
    </w:lvl>
    <w:lvl w:ilvl="2">
      <w:start w:val="1"/>
      <w:numFmt w:val="lowerLetter"/>
      <w:lvlText w:val="%3)"/>
      <w:lvlJc w:val="left"/>
      <w:pPr>
        <w:tabs>
          <w:tab w:val="num" w:pos="0"/>
        </w:tabs>
        <w:ind w:left="720" w:hanging="720"/>
      </w:pPr>
      <w:rPr>
        <w:rFonts w:eastAsia="Times New Roman" w:cs="Times New Roman"/>
      </w:r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2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hyphenationZone w:val="425"/>
  <w:themeFontLang w:val="pt-B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pt-BR" w:eastAsia="pt-BR"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8f210b"/>
    <w:pPr>
      <w:widowControl/>
      <w:suppressAutoHyphens w:val="true"/>
      <w:bidi w:val="0"/>
      <w:spacing w:lineRule="auto" w:line="276" w:before="0" w:after="200"/>
      <w:jc w:val="left"/>
    </w:pPr>
    <w:rPr>
      <w:rFonts w:ascii="Calibri" w:hAnsi="Calibri" w:eastAsia="Calibri" w:cs="Times New Roman"/>
      <w:color w:val="auto"/>
      <w:kern w:val="0"/>
      <w:sz w:val="22"/>
      <w:szCs w:val="22"/>
      <w:lang w:val="pt-BR" w:eastAsia="en-US" w:bidi="ar-SA"/>
    </w:rPr>
  </w:style>
  <w:style w:type="paragraph" w:styleId="Ttulo1">
    <w:name w:val="Heading 1"/>
    <w:basedOn w:val="Normal"/>
    <w:next w:val="Normal"/>
    <w:link w:val="Ttulo1Char"/>
    <w:uiPriority w:val="99"/>
    <w:qFormat/>
    <w:rsid w:val="008f210b"/>
    <w:pPr>
      <w:keepNext w:val="true"/>
      <w:tabs>
        <w:tab w:val="clear" w:pos="708"/>
        <w:tab w:val="left" w:pos="1418" w:leader="none"/>
        <w:tab w:val="left" w:pos="2552" w:leader="none"/>
        <w:tab w:val="left" w:pos="6521" w:leader="none"/>
      </w:tabs>
      <w:spacing w:lineRule="auto" w:line="240" w:before="0" w:after="0"/>
      <w:jc w:val="both"/>
      <w:outlineLvl w:val="0"/>
    </w:pPr>
    <w:rPr>
      <w:rFonts w:ascii="Cambria" w:hAnsi="Cambria"/>
      <w:b/>
      <w:bCs/>
      <w:kern w:val="2"/>
      <w:sz w:val="32"/>
      <w:szCs w:val="32"/>
    </w:rPr>
  </w:style>
  <w:style w:type="character" w:styleId="DefaultParagraphFont" w:default="1">
    <w:name w:val="Default Paragraph Font"/>
    <w:uiPriority w:val="1"/>
    <w:semiHidden/>
    <w:unhideWhenUsed/>
    <w:qFormat/>
    <w:rPr/>
  </w:style>
  <w:style w:type="character" w:styleId="Ttulo1Char" w:customStyle="1">
    <w:name w:val="Título 1 Char"/>
    <w:link w:val="Ttulo1"/>
    <w:uiPriority w:val="99"/>
    <w:qFormat/>
    <w:rsid w:val="008f210b"/>
    <w:rPr>
      <w:rFonts w:ascii="Cambria" w:hAnsi="Cambria" w:eastAsia="Calibri" w:cs="Times New Roman"/>
      <w:b/>
      <w:bCs/>
      <w:kern w:val="2"/>
      <w:sz w:val="32"/>
      <w:szCs w:val="32"/>
    </w:rPr>
  </w:style>
  <w:style w:type="character" w:styleId="TextodebaloChar" w:customStyle="1">
    <w:name w:val="Texto de balão Char"/>
    <w:link w:val="Textodebalo"/>
    <w:uiPriority w:val="99"/>
    <w:semiHidden/>
    <w:qFormat/>
    <w:rsid w:val="008f210b"/>
    <w:rPr>
      <w:rFonts w:ascii="Tahoma" w:hAnsi="Tahoma" w:eastAsia="Calibri" w:cs="Tahoma"/>
      <w:sz w:val="16"/>
      <w:szCs w:val="16"/>
    </w:rPr>
  </w:style>
  <w:style w:type="character" w:styleId="Strong">
    <w:name w:val="Strong"/>
    <w:uiPriority w:val="22"/>
    <w:qFormat/>
    <w:rsid w:val="00d93f28"/>
    <w:rPr>
      <w:b/>
      <w:bCs/>
    </w:rPr>
  </w:style>
  <w:style w:type="character" w:styleId="CabealhoChar" w:customStyle="1">
    <w:name w:val="Cabeçalho Char"/>
    <w:link w:val="Cabealho"/>
    <w:uiPriority w:val="99"/>
    <w:qFormat/>
    <w:rsid w:val="00034dbf"/>
    <w:rPr>
      <w:sz w:val="22"/>
      <w:szCs w:val="22"/>
      <w:lang w:eastAsia="en-US"/>
    </w:rPr>
  </w:style>
  <w:style w:type="character" w:styleId="RodapChar" w:customStyle="1">
    <w:name w:val="Rodapé Char"/>
    <w:link w:val="Rodap"/>
    <w:uiPriority w:val="99"/>
    <w:qFormat/>
    <w:rsid w:val="00034dbf"/>
    <w:rPr>
      <w:sz w:val="22"/>
      <w:szCs w:val="22"/>
      <w:lang w:eastAsia="en-US"/>
    </w:rPr>
  </w:style>
  <w:style w:type="character" w:styleId="Annotationreference">
    <w:name w:val="annotation reference"/>
    <w:uiPriority w:val="99"/>
    <w:semiHidden/>
    <w:unhideWhenUsed/>
    <w:qFormat/>
    <w:rsid w:val="00995440"/>
    <w:rPr>
      <w:sz w:val="16"/>
      <w:szCs w:val="16"/>
    </w:rPr>
  </w:style>
  <w:style w:type="character" w:styleId="TextodecomentrioChar" w:customStyle="1">
    <w:name w:val="Texto de comentário Char"/>
    <w:link w:val="Textodecomentrio"/>
    <w:uiPriority w:val="99"/>
    <w:semiHidden/>
    <w:qFormat/>
    <w:rsid w:val="00995440"/>
    <w:rPr>
      <w:lang w:eastAsia="en-US"/>
    </w:rPr>
  </w:style>
  <w:style w:type="character" w:styleId="AssuntodocomentrioChar" w:customStyle="1">
    <w:name w:val="Assunto do comentário Char"/>
    <w:link w:val="Assuntodocomentrio"/>
    <w:uiPriority w:val="99"/>
    <w:semiHidden/>
    <w:qFormat/>
    <w:rsid w:val="00995440"/>
    <w:rPr>
      <w:b/>
      <w:bCs/>
      <w:lang w:eastAsia="en-US"/>
    </w:rPr>
  </w:style>
  <w:style w:type="character" w:styleId="LinkdaInternet" w:customStyle="1">
    <w:name w:val="Link da Internet"/>
    <w:rPr>
      <w:color w:val="000080"/>
      <w:u w:val="single"/>
    </w:rPr>
  </w:style>
  <w:style w:type="paragraph" w:styleId="Ttulo">
    <w:name w:val="Título"/>
    <w:basedOn w:val="Normal"/>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Normal"/>
    <w:pPr>
      <w:spacing w:before="0" w:after="140"/>
    </w:pPr>
    <w:rPr/>
  </w:style>
  <w:style w:type="paragraph" w:styleId="Lista">
    <w:name w:val="List"/>
    <w:basedOn w:val="Corpodotexto"/>
    <w:pPr/>
    <w:rPr>
      <w:rFonts w:cs="Arial"/>
    </w:rPr>
  </w:style>
  <w:style w:type="paragraph" w:styleId="Legenda">
    <w:name w:val="Caption"/>
    <w:basedOn w:val="Normal"/>
    <w:qFormat/>
    <w:pPr>
      <w:suppressLineNumbers/>
      <w:spacing w:before="120" w:after="120"/>
    </w:pPr>
    <w:rPr>
      <w:rFonts w:cs="Arial"/>
      <w:i/>
      <w:iCs/>
      <w:sz w:val="24"/>
      <w:szCs w:val="24"/>
    </w:rPr>
  </w:style>
  <w:style w:type="paragraph" w:styleId="Ndice" w:customStyle="1">
    <w:name w:val="Índice"/>
    <w:basedOn w:val="Normal"/>
    <w:qFormat/>
    <w:pPr>
      <w:suppressLineNumbers/>
    </w:pPr>
    <w:rPr>
      <w:rFonts w:cs="Arial"/>
    </w:rPr>
  </w:style>
  <w:style w:type="paragraph" w:styleId="Ttulododocumento">
    <w:name w:val="Title"/>
    <w:basedOn w:val="Normal"/>
    <w:next w:val="Corpodotexto"/>
    <w:qFormat/>
    <w:pPr>
      <w:keepNext w:val="true"/>
      <w:spacing w:before="240" w:after="120"/>
    </w:pPr>
    <w:rPr>
      <w:rFonts w:ascii="Liberation Sans" w:hAnsi="Liberation Sans" w:eastAsia="Microsoft YaHei" w:cs="Arial"/>
      <w:sz w:val="28"/>
      <w:szCs w:val="28"/>
    </w:rPr>
  </w:style>
  <w:style w:type="paragraph" w:styleId="Caption">
    <w:name w:val="caption"/>
    <w:basedOn w:val="Normal"/>
    <w:qFormat/>
    <w:pPr>
      <w:suppressLineNumbers/>
      <w:spacing w:before="120" w:after="120"/>
    </w:pPr>
    <w:rPr>
      <w:rFonts w:cs="Arial"/>
      <w:i/>
      <w:iCs/>
      <w:sz w:val="24"/>
      <w:szCs w:val="24"/>
    </w:rPr>
  </w:style>
  <w:style w:type="paragraph" w:styleId="BalloonText">
    <w:name w:val="Balloon Text"/>
    <w:basedOn w:val="Normal"/>
    <w:link w:val="TextodebaloChar"/>
    <w:uiPriority w:val="99"/>
    <w:semiHidden/>
    <w:unhideWhenUsed/>
    <w:qFormat/>
    <w:rsid w:val="008f210b"/>
    <w:pPr>
      <w:spacing w:lineRule="auto" w:line="240" w:before="0" w:after="0"/>
    </w:pPr>
    <w:rPr>
      <w:rFonts w:ascii="Tahoma" w:hAnsi="Tahoma" w:cs="Tahoma"/>
      <w:sz w:val="16"/>
      <w:szCs w:val="16"/>
    </w:rPr>
  </w:style>
  <w:style w:type="paragraph" w:styleId="ListParagraph">
    <w:name w:val="List Paragraph"/>
    <w:basedOn w:val="Normal"/>
    <w:uiPriority w:val="34"/>
    <w:qFormat/>
    <w:rsid w:val="00a75359"/>
    <w:pPr>
      <w:spacing w:before="0" w:after="200"/>
      <w:ind w:left="720" w:hanging="0"/>
      <w:contextualSpacing/>
    </w:pPr>
    <w:rPr/>
  </w:style>
  <w:style w:type="paragraph" w:styleId="Default" w:customStyle="1">
    <w:name w:val="Default"/>
    <w:qFormat/>
    <w:rsid w:val="00a75359"/>
    <w:pPr>
      <w:widowControl/>
      <w:suppressAutoHyphens w:val="true"/>
      <w:bidi w:val="0"/>
      <w:spacing w:before="0" w:after="0"/>
      <w:jc w:val="left"/>
    </w:pPr>
    <w:rPr>
      <w:rFonts w:ascii="Verdana" w:hAnsi="Verdana" w:eastAsia="Calibri" w:cs="Verdana"/>
      <w:color w:val="000000"/>
      <w:kern w:val="0"/>
      <w:sz w:val="24"/>
      <w:szCs w:val="24"/>
      <w:lang w:val="pt-BR" w:eastAsia="en-US" w:bidi="ar-SA"/>
    </w:rPr>
  </w:style>
  <w:style w:type="paragraph" w:styleId="Western" w:customStyle="1">
    <w:name w:val="western"/>
    <w:basedOn w:val="Normal"/>
    <w:qFormat/>
    <w:rsid w:val="001062df"/>
    <w:pPr>
      <w:spacing w:lineRule="auto" w:line="240" w:before="280" w:after="119"/>
    </w:pPr>
    <w:rPr>
      <w:rFonts w:ascii="Times New Roman" w:hAnsi="Times New Roman" w:eastAsia="Times New Roman"/>
      <w:sz w:val="24"/>
      <w:szCs w:val="24"/>
      <w:lang w:eastAsia="zh-CN"/>
    </w:rPr>
  </w:style>
  <w:style w:type="paragraph" w:styleId="NormalWeb">
    <w:name w:val="Normal (Web)"/>
    <w:basedOn w:val="Normal"/>
    <w:uiPriority w:val="99"/>
    <w:semiHidden/>
    <w:unhideWhenUsed/>
    <w:qFormat/>
    <w:rsid w:val="00d147c6"/>
    <w:pPr>
      <w:spacing w:lineRule="auto" w:line="240" w:beforeAutospacing="1" w:afterAutospacing="1"/>
    </w:pPr>
    <w:rPr>
      <w:rFonts w:ascii="Times New Roman" w:hAnsi="Times New Roman" w:eastAsia="Times New Roman"/>
      <w:sz w:val="24"/>
      <w:szCs w:val="24"/>
      <w:lang w:eastAsia="pt-BR"/>
    </w:rPr>
  </w:style>
  <w:style w:type="paragraph" w:styleId="CabealhoeRodap" w:customStyle="1">
    <w:name w:val="Cabeçalho e Rodapé"/>
    <w:basedOn w:val="Normal"/>
    <w:qFormat/>
    <w:pPr/>
    <w:rPr/>
  </w:style>
  <w:style w:type="paragraph" w:styleId="Cabealho">
    <w:name w:val="Header"/>
    <w:basedOn w:val="Normal"/>
    <w:link w:val="CabealhoChar"/>
    <w:uiPriority w:val="99"/>
    <w:unhideWhenUsed/>
    <w:rsid w:val="00034dbf"/>
    <w:pPr>
      <w:tabs>
        <w:tab w:val="clear" w:pos="708"/>
        <w:tab w:val="center" w:pos="4252" w:leader="none"/>
        <w:tab w:val="right" w:pos="8504" w:leader="none"/>
      </w:tabs>
    </w:pPr>
    <w:rPr/>
  </w:style>
  <w:style w:type="paragraph" w:styleId="Rodap">
    <w:name w:val="Footer"/>
    <w:basedOn w:val="Normal"/>
    <w:link w:val="RodapChar"/>
    <w:uiPriority w:val="99"/>
    <w:unhideWhenUsed/>
    <w:rsid w:val="00034dbf"/>
    <w:pPr>
      <w:tabs>
        <w:tab w:val="clear" w:pos="708"/>
        <w:tab w:val="center" w:pos="4252" w:leader="none"/>
        <w:tab w:val="right" w:pos="8504" w:leader="none"/>
      </w:tabs>
    </w:pPr>
    <w:rPr/>
  </w:style>
  <w:style w:type="paragraph" w:styleId="Annotationtext">
    <w:name w:val="annotation text"/>
    <w:basedOn w:val="Normal"/>
    <w:link w:val="TextodecomentrioChar"/>
    <w:uiPriority w:val="99"/>
    <w:semiHidden/>
    <w:unhideWhenUsed/>
    <w:qFormat/>
    <w:rsid w:val="00995440"/>
    <w:pPr/>
    <w:rPr>
      <w:sz w:val="20"/>
      <w:szCs w:val="20"/>
    </w:rPr>
  </w:style>
  <w:style w:type="paragraph" w:styleId="Annotationsubject">
    <w:name w:val="annotation subject"/>
    <w:basedOn w:val="Annotationtext"/>
    <w:next w:val="Annotationtext"/>
    <w:link w:val="AssuntodocomentrioChar"/>
    <w:uiPriority w:val="99"/>
    <w:semiHidden/>
    <w:unhideWhenUsed/>
    <w:qFormat/>
    <w:rsid w:val="00995440"/>
    <w:pPr/>
    <w:rPr>
      <w:b/>
      <w:bCs/>
    </w:rPr>
  </w:style>
  <w:style w:type="paragraph" w:styleId="Standard" w:customStyle="1">
    <w:name w:val="Standard"/>
    <w:qFormat/>
    <w:pPr>
      <w:widowControl/>
      <w:suppressAutoHyphens w:val="true"/>
      <w:bidi w:val="0"/>
      <w:spacing w:lineRule="auto" w:line="276" w:before="0" w:after="200"/>
      <w:jc w:val="left"/>
      <w:textAlignment w:val="baseline"/>
    </w:pPr>
    <w:rPr>
      <w:rFonts w:ascii="Calibri" w:hAnsi="Calibri" w:eastAsia="Calibri" w:cs="F"/>
      <w:color w:val="auto"/>
      <w:kern w:val="0"/>
      <w:sz w:val="22"/>
      <w:szCs w:val="22"/>
      <w:lang w:val="pt-BR" w:eastAsia="en-US" w:bidi="ar-SA"/>
    </w:rPr>
  </w:style>
  <w:style w:type="numbering" w:styleId="NoList" w:default="1">
    <w:name w:val="No List"/>
    <w:uiPriority w:val="99"/>
    <w:semiHidden/>
    <w:unhideWhenUsed/>
    <w:qFormat/>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table" w:styleId="Tabelacomgrade">
    <w:name w:val="Table Grid"/>
    <w:basedOn w:val="Tabelanormal"/>
    <w:uiPriority w:val="99"/>
    <w:rsid w:val="002c6ba4"/>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oleObject" Target="embeddings/oleObject1.bin"/><Relationship Id="rId3" Type="http://schemas.openxmlformats.org/officeDocument/2006/relationships/image" Target="media/image1.wmf"/><Relationship Id="rId4" Type="http://schemas.openxmlformats.org/officeDocument/2006/relationships/image" Target="media/image2.jpeg"/><Relationship Id="rId5" Type="http://schemas.openxmlformats.org/officeDocument/2006/relationships/footer" Target="footer1.xml"/><Relationship Id="rId6" Type="http://schemas.openxmlformats.org/officeDocument/2006/relationships/comments" Target="comments.xml"/><Relationship Id="rId7" Type="http://schemas.openxmlformats.org/officeDocument/2006/relationships/numbering" Target="numbering.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Relationship Id="rId11" Type="http://schemas.openxmlformats.org/officeDocument/2006/relationships/customXml" Target="../customXml/item1.xml"/>
</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E4E3FA-C1D7-460E-AAE1-34165353C1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Application>LibreOffice/6.4.7.2$Windows_X86_64 LibreOffice_project/639b8ac485750d5696d7590a72ef1b496725cfb5</Application>
  <Pages>18</Pages>
  <Words>5659</Words>
  <Characters>32576</Characters>
  <CharactersWithSpaces>37989</CharactersWithSpaces>
  <Paragraphs>318</Paragraphs>
  <Company>UFSC</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2021-12-01T16:51:00Z</dcterms:created>
  <dc:creator>DSG SVE</dc:creator>
  <dc:description/>
  <dc:language>pt-BR</dc:language>
  <cp:lastModifiedBy/>
  <cp:lastPrinted>2020-02-04T18:46:00Z</cp:lastPrinted>
  <dcterms:modified xsi:type="dcterms:W3CDTF">2021-12-13T17:29:32Z</dcterms:modified>
  <cp:revision>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UFSC</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